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EB" w:rsidRPr="00610969" w:rsidRDefault="000779EB" w:rsidP="000779EB">
      <w:pPr>
        <w:rPr>
          <w:rFonts w:ascii="Verdana" w:hAnsi="Verdana" w:cs="Arial"/>
          <w:b/>
        </w:rPr>
      </w:pPr>
      <w:r w:rsidRPr="00610969">
        <w:rPr>
          <w:rFonts w:ascii="Verdana" w:hAnsi="Verdana" w:cs="Arial"/>
          <w:b/>
        </w:rPr>
        <w:t xml:space="preserve">ΕΛΛΗΝΙΚΗ ΔΗΜΟΚΡΑΤΙΑ </w:t>
      </w:r>
    </w:p>
    <w:p w:rsidR="000779EB" w:rsidRPr="00610969" w:rsidRDefault="000779EB" w:rsidP="000779EB">
      <w:pPr>
        <w:rPr>
          <w:rFonts w:ascii="Verdana" w:hAnsi="Verdana"/>
          <w:b/>
        </w:rPr>
      </w:pPr>
    </w:p>
    <w:p w:rsidR="000779EB" w:rsidRPr="00610969" w:rsidRDefault="000779EB" w:rsidP="000779EB">
      <w:pPr>
        <w:spacing w:after="0" w:line="240" w:lineRule="auto"/>
        <w:rPr>
          <w:rFonts w:ascii="Verdana" w:hAnsi="Verdana" w:cs="Arial"/>
          <w:b/>
        </w:rPr>
      </w:pPr>
      <w:r w:rsidRPr="00610969">
        <w:rPr>
          <w:rFonts w:ascii="Verdana" w:hAnsi="Verdana" w:cs="Arial"/>
          <w:b/>
        </w:rPr>
        <w:t>Εθνικό και Καποδιστριακό</w:t>
      </w:r>
      <w:r w:rsidRPr="00610969">
        <w:rPr>
          <w:rFonts w:ascii="Verdana" w:hAnsi="Verdana" w:cs="Arial"/>
          <w:b/>
        </w:rPr>
        <w:br/>
        <w:t>Πανεπιστήμιο Αθηνών</w:t>
      </w:r>
    </w:p>
    <w:p w:rsidR="000779EB" w:rsidRPr="00610969" w:rsidRDefault="000779EB" w:rsidP="000779EB">
      <w:pPr>
        <w:rPr>
          <w:rFonts w:ascii="Verdana" w:hAnsi="Verdana" w:cs="Arial"/>
          <w:b/>
        </w:rPr>
      </w:pPr>
    </w:p>
    <w:p w:rsidR="000779EB" w:rsidRPr="00610969" w:rsidRDefault="000779EB" w:rsidP="000779EB">
      <w:pPr>
        <w:rPr>
          <w:rFonts w:ascii="Verdana" w:hAnsi="Verdana" w:cs="Arial"/>
          <w:b/>
        </w:rPr>
      </w:pPr>
      <w:r w:rsidRPr="00610969">
        <w:rPr>
          <w:rFonts w:ascii="Verdana" w:hAnsi="Verdana" w:cs="Arial"/>
          <w:b/>
        </w:rPr>
        <w:t xml:space="preserve">Τμήμα Γερμανικής Γλώσσας και Φιλολογίας </w:t>
      </w: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0779EB" w:rsidRPr="00610969" w:rsidRDefault="000779EB" w:rsidP="000779EB">
      <w:pPr>
        <w:pStyle w:val="Default"/>
        <w:spacing w:line="360" w:lineRule="auto"/>
        <w:jc w:val="center"/>
        <w:rPr>
          <w:rFonts w:cs="Arial"/>
          <w:sz w:val="32"/>
          <w:szCs w:val="22"/>
        </w:rPr>
      </w:pPr>
      <w:r w:rsidRPr="00610969">
        <w:rPr>
          <w:rFonts w:cs="Arial"/>
          <w:b/>
          <w:bCs/>
          <w:sz w:val="32"/>
          <w:szCs w:val="22"/>
        </w:rPr>
        <w:t>ΟΔΗΓΟΣ  ΣΠΟΥΔΩΝ</w:t>
      </w:r>
    </w:p>
    <w:p w:rsidR="000779EB" w:rsidRPr="00610969" w:rsidRDefault="000779EB" w:rsidP="000779EB">
      <w:pPr>
        <w:pStyle w:val="Default"/>
        <w:spacing w:line="360" w:lineRule="auto"/>
        <w:jc w:val="center"/>
        <w:rPr>
          <w:rFonts w:cs="Arial"/>
          <w:b/>
          <w:bCs/>
          <w:sz w:val="32"/>
          <w:szCs w:val="22"/>
        </w:rPr>
      </w:pPr>
      <w:r w:rsidRPr="00610969">
        <w:rPr>
          <w:rFonts w:cs="Arial"/>
          <w:b/>
          <w:bCs/>
          <w:sz w:val="32"/>
          <w:szCs w:val="22"/>
        </w:rPr>
        <w:t>(Συνοπτικός)</w:t>
      </w:r>
    </w:p>
    <w:p w:rsidR="000779EB" w:rsidRPr="00027F8E" w:rsidRDefault="000779EB" w:rsidP="000779EB">
      <w:pPr>
        <w:pStyle w:val="Default"/>
        <w:spacing w:line="360" w:lineRule="auto"/>
        <w:jc w:val="center"/>
        <w:rPr>
          <w:rFonts w:cs="Arial"/>
          <w:sz w:val="32"/>
          <w:szCs w:val="22"/>
          <w:lang w:val="de-DE"/>
        </w:rPr>
      </w:pPr>
      <w:r w:rsidRPr="00610969">
        <w:rPr>
          <w:rFonts w:cs="Arial"/>
          <w:b/>
          <w:bCs/>
          <w:sz w:val="32"/>
          <w:szCs w:val="22"/>
        </w:rPr>
        <w:t>ΑΚΑΔΗΜΑΪΚΟ ΕΤΟΣ 201</w:t>
      </w:r>
      <w:r w:rsidR="00027F8E">
        <w:rPr>
          <w:rFonts w:cs="Arial"/>
          <w:b/>
          <w:bCs/>
          <w:sz w:val="32"/>
          <w:szCs w:val="22"/>
          <w:lang w:val="de-DE"/>
        </w:rPr>
        <w:t>7</w:t>
      </w:r>
      <w:r w:rsidRPr="00610969">
        <w:rPr>
          <w:rFonts w:cs="Arial"/>
          <w:b/>
          <w:bCs/>
          <w:sz w:val="32"/>
          <w:szCs w:val="22"/>
        </w:rPr>
        <w:t>/1</w:t>
      </w:r>
      <w:r w:rsidR="00027F8E">
        <w:rPr>
          <w:rFonts w:cs="Arial"/>
          <w:b/>
          <w:bCs/>
          <w:sz w:val="32"/>
          <w:szCs w:val="22"/>
          <w:lang w:val="de-DE"/>
        </w:rPr>
        <w:t>8</w:t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2"/>
          <w:szCs w:val="22"/>
        </w:rPr>
        <w:id w:val="1439574082"/>
        <w:docPartObj>
          <w:docPartGallery w:val="Table of Contents"/>
          <w:docPartUnique/>
        </w:docPartObj>
      </w:sdtPr>
      <w:sdtContent>
        <w:p w:rsidR="0057598E" w:rsidRPr="00610969" w:rsidRDefault="00EC2633" w:rsidP="0057598E">
          <w:pPr>
            <w:pStyle w:val="TOCHeading"/>
            <w:pageBreakBefore/>
            <w:rPr>
              <w:rFonts w:ascii="Verdana" w:hAnsi="Verdana"/>
              <w:sz w:val="22"/>
              <w:szCs w:val="22"/>
            </w:rPr>
          </w:pPr>
          <w:r w:rsidRPr="00610969">
            <w:rPr>
              <w:rFonts w:ascii="Verdana" w:hAnsi="Verdana"/>
              <w:color w:val="auto"/>
              <w:sz w:val="22"/>
              <w:szCs w:val="22"/>
            </w:rPr>
            <w:t>ΠΕΡΙΕΧΟΜΕΝΑ</w:t>
          </w:r>
        </w:p>
        <w:p w:rsidR="0057598E" w:rsidRPr="00610969" w:rsidRDefault="0057598E" w:rsidP="0057598E">
          <w:pPr>
            <w:rPr>
              <w:rFonts w:ascii="Verdana" w:hAnsi="Verdana"/>
            </w:rPr>
          </w:pPr>
        </w:p>
        <w:p w:rsidR="0057598E" w:rsidRPr="00610969" w:rsidRDefault="0057598E" w:rsidP="0057598E">
          <w:pPr>
            <w:rPr>
              <w:rFonts w:ascii="Verdana" w:hAnsi="Verdana"/>
            </w:rPr>
          </w:pPr>
        </w:p>
        <w:p w:rsidR="00F30588" w:rsidRDefault="002E1147" w:rsidP="00F30588">
          <w:pPr>
            <w:pStyle w:val="TOC1"/>
            <w:tabs>
              <w:tab w:val="clear" w:pos="8979"/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r w:rsidRPr="002E1147">
            <w:rPr>
              <w:rFonts w:ascii="Verdana" w:hAnsi="Verdana"/>
            </w:rPr>
            <w:fldChar w:fldCharType="begin"/>
          </w:r>
          <w:r w:rsidR="0057598E" w:rsidRPr="00610969">
            <w:rPr>
              <w:rFonts w:ascii="Verdana" w:hAnsi="Verdana"/>
            </w:rPr>
            <w:instrText xml:space="preserve"> TOC \o "1-3" \h \z \u </w:instrText>
          </w:r>
          <w:r w:rsidRPr="002E1147">
            <w:rPr>
              <w:rFonts w:ascii="Verdana" w:hAnsi="Verdana"/>
            </w:rPr>
            <w:fldChar w:fldCharType="separate"/>
          </w:r>
          <w:hyperlink w:anchor="_Toc461558027" w:history="1">
            <w:r w:rsidR="00F30588" w:rsidRPr="006E2B83">
              <w:rPr>
                <w:rStyle w:val="Hyperlink"/>
                <w:rFonts w:ascii="Verdana" w:hAnsi="Verdana"/>
                <w:noProof/>
              </w:rPr>
              <w:t>ΔΙΑΡΚΕΙΑ ΣΠΟΥΔΩΝ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clear" w:pos="8979"/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28" w:history="1">
            <w:r w:rsidR="00F30588" w:rsidRPr="006E2B83">
              <w:rPr>
                <w:rStyle w:val="Hyperlink"/>
                <w:rFonts w:ascii="Verdana" w:hAnsi="Verdana"/>
                <w:noProof/>
              </w:rPr>
              <w:t>ΣΥΝΟΛΟ ΜΑΘΗΜΑΤΩΝ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clear" w:pos="8979"/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29" w:history="1">
            <w:r w:rsidR="00F30588" w:rsidRPr="006E2B83">
              <w:rPr>
                <w:rStyle w:val="Hyperlink"/>
                <w:rFonts w:ascii="Verdana" w:hAnsi="Verdana"/>
                <w:noProof/>
              </w:rPr>
              <w:t>ΕΥΡΩΠΑΪΚΕΣ ΠΙΣΤΩΤΙΚΕΣ ΜΟΝΑΔΕΣ ECTS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clear" w:pos="8979"/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0" w:history="1">
            <w:r w:rsidR="00F30588" w:rsidRPr="006E2B83">
              <w:rPr>
                <w:rStyle w:val="Hyperlink"/>
                <w:rFonts w:ascii="Verdana" w:hAnsi="Verdana"/>
                <w:noProof/>
              </w:rPr>
              <w:t>ΜΑΘΗΜΑΤΑ ΤΥΠΟΥ Α (1ο–4ο ΕΞΑΜΗΝΟ)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1" w:history="1">
            <w:r w:rsidR="00F30588" w:rsidRPr="006E2B83">
              <w:rPr>
                <w:rStyle w:val="Hyperlink"/>
                <w:noProof/>
              </w:rPr>
              <w:t>Ι.  Κλάδος Γλωσσολογίας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2" w:history="1">
            <w:r w:rsidR="00F30588" w:rsidRPr="006E2B83">
              <w:rPr>
                <w:rStyle w:val="Hyperlink"/>
                <w:noProof/>
              </w:rPr>
              <w:t>ΙΙ.  Κλάδος Λογοτεχνίας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3" w:history="1">
            <w:r w:rsidR="00F30588" w:rsidRPr="006E2B83">
              <w:rPr>
                <w:rStyle w:val="Hyperlink"/>
                <w:noProof/>
              </w:rPr>
              <w:t>ΙΙΙ.  Πρόγραμμα Σπουδών Πρακτικές Γλωσσικές Ασκήσεις (ΠΓΑ)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4" w:history="1">
            <w:r w:rsidR="00F30588" w:rsidRPr="006E2B83">
              <w:rPr>
                <w:rStyle w:val="Hyperlink"/>
                <w:noProof/>
              </w:rPr>
              <w:t>IV.  Προπαρασκευαστικό μάθημα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5" w:history="1">
            <w:r w:rsidR="00F30588" w:rsidRPr="006E2B83">
              <w:rPr>
                <w:rStyle w:val="Hyperlink"/>
                <w:noProof/>
              </w:rPr>
              <w:t xml:space="preserve">Ενδεικτικό Πρόγραμμα Σπουδών για τα Μαθήματα </w:t>
            </w:r>
            <w:bookmarkStart w:id="0" w:name="_GoBack"/>
            <w:bookmarkEnd w:id="0"/>
            <w:r w:rsidR="00F30588" w:rsidRPr="006E2B83">
              <w:rPr>
                <w:rStyle w:val="Hyperlink"/>
                <w:noProof/>
              </w:rPr>
              <w:t>Τύπου Α (1ο–4ο εξάμηνο)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6" w:history="1">
            <w:r w:rsidR="00F30588" w:rsidRPr="006E2B83">
              <w:rPr>
                <w:rStyle w:val="Hyperlink"/>
                <w:rFonts w:ascii="Verdana" w:hAnsi="Verdana"/>
                <w:noProof/>
              </w:rPr>
              <w:t>ΜΑΘΗΜΑΤΑ ΤΥΠΟΥ Β (5ο-8ο ΕΞΑΜΗΝΟ)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37" w:history="1">
            <w:r w:rsidR="00F30588" w:rsidRPr="006E2B83">
              <w:rPr>
                <w:rStyle w:val="Hyperlink"/>
                <w:noProof/>
              </w:rPr>
              <w:t>Μαθήματα Υποχρεωτικής Επιλογής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Pr="00F30588" w:rsidRDefault="002E1147" w:rsidP="00F30588">
          <w:pPr>
            <w:pStyle w:val="TOC3"/>
            <w:tabs>
              <w:tab w:val="right" w:leader="dot" w:pos="8364"/>
            </w:tabs>
            <w:rPr>
              <w:noProof/>
            </w:rPr>
          </w:pPr>
          <w:hyperlink w:anchor="_Toc461558038" w:history="1">
            <w:r w:rsidR="00F30588" w:rsidRPr="00F30588">
              <w:rPr>
                <w:noProof/>
              </w:rPr>
              <w:t>Ι.  Κλάδος Γλωσσολογίας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Pr="00F30588" w:rsidRDefault="002E1147" w:rsidP="00F30588">
          <w:pPr>
            <w:pStyle w:val="TOC3"/>
            <w:tabs>
              <w:tab w:val="right" w:leader="dot" w:pos="8364"/>
            </w:tabs>
            <w:rPr>
              <w:noProof/>
            </w:rPr>
          </w:pPr>
          <w:hyperlink w:anchor="_Toc461558039" w:history="1">
            <w:r w:rsidR="00F30588" w:rsidRPr="00F30588">
              <w:rPr>
                <w:noProof/>
              </w:rPr>
              <w:t>ΙΙ.  Κλάδος Λογοτεχνίας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2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0" w:history="1">
            <w:r w:rsidR="00F30588" w:rsidRPr="006E2B83">
              <w:rPr>
                <w:rStyle w:val="Hyperlink"/>
                <w:noProof/>
              </w:rPr>
              <w:t>Μαθήματα Ελεύθερης Επιλογής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1" w:history="1">
            <w:r w:rsidR="00F30588" w:rsidRPr="006E2B83">
              <w:rPr>
                <w:rStyle w:val="Hyperlink"/>
                <w:rFonts w:ascii="Verdana" w:hAnsi="Verdana"/>
                <w:noProof/>
              </w:rPr>
              <w:t>ΜΑΘΗΜΑΤΑ ΑΠΟ ΑΛΛΑ ΤΜΗΜΑΤΑ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2" w:history="1">
            <w:r w:rsidR="00F30588" w:rsidRPr="006E2B83">
              <w:rPr>
                <w:rStyle w:val="Hyperlink"/>
                <w:rFonts w:ascii="Verdana" w:hAnsi="Verdana"/>
                <w:noProof/>
              </w:rPr>
              <w:t>ΠΤΥΧΙΑΚΗ ΕΡΓΑΣΙΑ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3" w:history="1">
            <w:r w:rsidR="00F30588" w:rsidRPr="006E2B83">
              <w:rPr>
                <w:rStyle w:val="Hyperlink"/>
                <w:rFonts w:ascii="Verdana" w:hAnsi="Verdana"/>
                <w:noProof/>
              </w:rPr>
              <w:t>ΕΞΕΤΑΣΕΙΣ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4" w:history="1">
            <w:r w:rsidR="00F30588" w:rsidRPr="006E2B83">
              <w:rPr>
                <w:rStyle w:val="Hyperlink"/>
                <w:rFonts w:ascii="Verdana" w:hAnsi="Verdana"/>
                <w:noProof/>
              </w:rPr>
              <w:t>ΕΓΓΡΑΦΕΣ – ΔΗΛΩΣΕΙΣ ΜΑΘΗΜΑΤΩΝ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5" w:history="1">
            <w:r w:rsidR="00F30588" w:rsidRPr="006E2B83">
              <w:rPr>
                <w:rStyle w:val="Hyperlink"/>
                <w:rFonts w:ascii="Verdana" w:hAnsi="Verdana"/>
                <w:noProof/>
              </w:rPr>
              <w:t>ΥΠΟΛΟΓΙΣΜΟΣ ΒΑΘΜΟΥ ΠΤΥΧΙΟΥ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588" w:rsidRDefault="002E1147" w:rsidP="00F30588">
          <w:pPr>
            <w:pStyle w:val="TOC1"/>
            <w:tabs>
              <w:tab w:val="right" w:leader="dot" w:pos="836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1558046" w:history="1">
            <w:r w:rsidR="00F30588" w:rsidRPr="006E2B83">
              <w:rPr>
                <w:rStyle w:val="Hyperlink"/>
                <w:rFonts w:ascii="Verdana" w:hAnsi="Verdana"/>
                <w:noProof/>
              </w:rPr>
              <w:t>ΠΙΣΤΟΠΟΙΗΣΗ ΠΑΙΔΑΓΩΓΙΚΗΣ ΚΑΙ ΔΙΔΑΚΤΙΚΗΣ ΕΠΑΡΚΕΙΑΣ</w:t>
            </w:r>
            <w:r w:rsidR="00F305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588">
              <w:rPr>
                <w:noProof/>
                <w:webHidden/>
              </w:rPr>
              <w:instrText xml:space="preserve"> PAGEREF _Toc461558046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598E" w:rsidRPr="00610969" w:rsidRDefault="002E1147">
          <w:pPr>
            <w:rPr>
              <w:rFonts w:ascii="Verdana" w:hAnsi="Verdana"/>
            </w:rPr>
          </w:pPr>
          <w:r w:rsidRPr="00610969">
            <w:rPr>
              <w:rFonts w:ascii="Verdana" w:hAnsi="Verdana"/>
              <w:b/>
              <w:bCs/>
            </w:rPr>
            <w:fldChar w:fldCharType="end"/>
          </w:r>
        </w:p>
      </w:sdtContent>
    </w:sdt>
    <w:p w:rsidR="00071991" w:rsidRPr="00610969" w:rsidRDefault="00071991">
      <w:pPr>
        <w:spacing w:after="0" w:line="240" w:lineRule="auto"/>
        <w:rPr>
          <w:rFonts w:ascii="Verdana" w:hAnsi="Verdana"/>
          <w:b/>
          <w:bCs/>
        </w:rPr>
      </w:pPr>
      <w:r w:rsidRPr="00610969">
        <w:rPr>
          <w:rFonts w:ascii="Verdana" w:hAnsi="Verdana"/>
          <w:b/>
          <w:bCs/>
        </w:rPr>
        <w:br w:type="page"/>
      </w:r>
    </w:p>
    <w:p w:rsidR="000779EB" w:rsidRPr="00610969" w:rsidRDefault="000779EB" w:rsidP="0057598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" w:name="_Toc461558027"/>
      <w:r w:rsidRPr="00610969">
        <w:rPr>
          <w:rFonts w:ascii="Verdana" w:hAnsi="Verdana"/>
          <w:color w:val="auto"/>
          <w:sz w:val="22"/>
          <w:szCs w:val="22"/>
        </w:rPr>
        <w:lastRenderedPageBreak/>
        <w:t>ΔΙΑΡΚΕΙΑ ΣΠΟΥΔΩΝ</w:t>
      </w:r>
      <w:bookmarkEnd w:id="1"/>
    </w:p>
    <w:p w:rsidR="000779EB" w:rsidRPr="00610969" w:rsidRDefault="000779EB" w:rsidP="000779EB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O ελάχιστος χρόνος φοίτησης, που απαιτείται για την απόκτηση πτυχίου, είναι οκτώ (8) εξάμηνα. Κάθε ακαδημαϊκό έτος αποτελείται από δύο εξά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μηνα. Το χειμερινό εξάμηνο διαρκεί περίπου από τον Οκτώβριο μέχρι τον Φεβρουάριο, το εαρινό από τον Μάρτιο μέχρι τον Ιούνιο. Οι ακριβείς ημε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ρομηνίες έναρξης και λήξης ανακοινώνονται κάθε φορά από την Κοσμητεία της Φιλοσοφικής Σχολής</w:t>
      </w:r>
      <w:r w:rsidR="00E83E70">
        <w:rPr>
          <w:rFonts w:ascii="Verdana" w:hAnsi="Verdana"/>
        </w:rPr>
        <w:t xml:space="preserve"> </w:t>
      </w:r>
      <w:r w:rsidR="00E83E70" w:rsidRPr="00EA1417">
        <w:rPr>
          <w:rFonts w:ascii="Verdana" w:hAnsi="Verdana"/>
        </w:rPr>
        <w:t>(http://www.deanphil.uoa.gr)</w:t>
      </w:r>
      <w:r w:rsidRPr="00610969">
        <w:rPr>
          <w:rFonts w:ascii="Verdana" w:hAnsi="Verdana"/>
        </w:rPr>
        <w:t xml:space="preserve">. </w:t>
      </w:r>
    </w:p>
    <w:p w:rsidR="00024895" w:rsidRPr="00610969" w:rsidRDefault="00024895" w:rsidP="0057598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2" w:name="_Toc461558028"/>
      <w:r w:rsidRPr="00610969">
        <w:rPr>
          <w:rFonts w:ascii="Verdana" w:hAnsi="Verdana"/>
          <w:color w:val="auto"/>
          <w:sz w:val="22"/>
          <w:szCs w:val="22"/>
        </w:rPr>
        <w:t>ΣΥΝΟΛΟ ΜΑΘΗΜΑΤΩΝ</w:t>
      </w:r>
      <w:bookmarkEnd w:id="2"/>
    </w:p>
    <w:p w:rsidR="00024895" w:rsidRPr="00610969" w:rsidRDefault="00024895" w:rsidP="00024895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Κάθε φοιτητής πρέπει να παρακολουθήσει στη διάρκεια των σπουδών του συνολικά 44 μαθήματα (40 του Τμήματος Γερμανικής Γλώσσας και Φιλολο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γίας και 4 των άλλων Τμημάτων της Φιλοσοφικής</w:t>
      </w:r>
      <w:r w:rsidRPr="00701AC5">
        <w:rPr>
          <w:rFonts w:ascii="Verdana" w:hAnsi="Verdana"/>
        </w:rPr>
        <w:t xml:space="preserve">). </w:t>
      </w:r>
      <w:r w:rsidR="008041E7" w:rsidRPr="00701AC5">
        <w:rPr>
          <w:rFonts w:ascii="Verdana" w:hAnsi="Verdana"/>
        </w:rPr>
        <w:t>Όλα τα μαθήματα είναι τρίωρα.</w:t>
      </w:r>
      <w:r w:rsidRPr="00610969">
        <w:rPr>
          <w:rFonts w:ascii="Verdana" w:hAnsi="Verdana"/>
        </w:rPr>
        <w:t>Ως μάθημα θεωρείται και η υποχρεωτική πτυχιακή εργασία.</w:t>
      </w:r>
    </w:p>
    <w:p w:rsidR="000779EB" w:rsidRPr="00610969" w:rsidRDefault="0057598E" w:rsidP="0057598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3" w:name="_Toc461558029"/>
      <w:r w:rsidRPr="00610969">
        <w:rPr>
          <w:rFonts w:ascii="Verdana" w:hAnsi="Verdana"/>
          <w:color w:val="auto"/>
          <w:sz w:val="22"/>
          <w:szCs w:val="22"/>
        </w:rPr>
        <w:t xml:space="preserve">ΕΥΡΩΠΑΪΚΕΣ </w:t>
      </w:r>
      <w:r w:rsidR="000779EB" w:rsidRPr="00610969">
        <w:rPr>
          <w:rFonts w:ascii="Verdana" w:hAnsi="Verdana"/>
          <w:color w:val="auto"/>
          <w:sz w:val="22"/>
          <w:szCs w:val="22"/>
        </w:rPr>
        <w:t>ΠΙΣΤΩΤΙΚΕΣ ΜΟΝΑΔΕΣ ECTS</w:t>
      </w:r>
      <w:bookmarkEnd w:id="3"/>
    </w:p>
    <w:p w:rsidR="001835B7" w:rsidRPr="00701AC5" w:rsidRDefault="000779EB" w:rsidP="00024895">
      <w:pPr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 xml:space="preserve">Το σύνολο των απαιτούμενων </w:t>
      </w:r>
      <w:r w:rsidR="0057598E" w:rsidRPr="00701AC5">
        <w:rPr>
          <w:rFonts w:ascii="Verdana" w:hAnsi="Verdana"/>
        </w:rPr>
        <w:t xml:space="preserve">ευρωπαϊκών </w:t>
      </w:r>
      <w:r w:rsidRPr="00701AC5">
        <w:rPr>
          <w:rFonts w:ascii="Verdana" w:hAnsi="Verdana"/>
        </w:rPr>
        <w:t xml:space="preserve">πιστωτικών μονάδων </w:t>
      </w:r>
      <w:r w:rsidR="0057598E" w:rsidRPr="00701AC5">
        <w:rPr>
          <w:rFonts w:ascii="Verdana" w:hAnsi="Verdana"/>
        </w:rPr>
        <w:t xml:space="preserve">ECTS </w:t>
      </w:r>
      <w:r w:rsidRPr="00701AC5">
        <w:rPr>
          <w:rFonts w:ascii="Verdana" w:hAnsi="Verdana"/>
        </w:rPr>
        <w:t xml:space="preserve">για την λήψη πτυχίου είναι </w:t>
      </w:r>
      <w:r w:rsidRPr="00701AC5">
        <w:rPr>
          <w:rFonts w:ascii="Verdana" w:hAnsi="Verdana"/>
          <w:b/>
        </w:rPr>
        <w:t>242</w:t>
      </w:r>
      <w:r w:rsidRPr="00701AC5">
        <w:rPr>
          <w:rFonts w:ascii="Verdana" w:hAnsi="Verdana"/>
        </w:rPr>
        <w:t xml:space="preserve">. </w:t>
      </w:r>
      <w:r w:rsidR="00CD5F0A" w:rsidRPr="00701AC5">
        <w:rPr>
          <w:rFonts w:ascii="Verdana" w:hAnsi="Verdana"/>
        </w:rPr>
        <w:t>Αναλυτικά</w:t>
      </w:r>
      <w:r w:rsidR="001835B7" w:rsidRPr="00701AC5">
        <w:rPr>
          <w:rFonts w:ascii="Verdana" w:hAnsi="Verdana"/>
        </w:rPr>
        <w:t xml:space="preserve"> οι πιστωτικές μονάδες κατανέμο</w:t>
      </w:r>
      <w:r w:rsidR="00F27730">
        <w:rPr>
          <w:rFonts w:ascii="Verdana" w:hAnsi="Verdana"/>
        </w:rPr>
        <w:softHyphen/>
      </w:r>
      <w:r w:rsidR="001835B7" w:rsidRPr="00701AC5">
        <w:rPr>
          <w:rFonts w:ascii="Verdana" w:hAnsi="Verdana"/>
        </w:rPr>
        <w:t>νται ως εξής:</w:t>
      </w:r>
    </w:p>
    <w:p w:rsidR="001835B7" w:rsidRPr="00701AC5" w:rsidRDefault="0012747F" w:rsidP="000C49DC">
      <w:pPr>
        <w:pStyle w:val="ListParagraph"/>
        <w:numPr>
          <w:ilvl w:val="0"/>
          <w:numId w:val="18"/>
        </w:numPr>
        <w:tabs>
          <w:tab w:val="left" w:pos="4395"/>
        </w:tabs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>Μαθήματα</w:t>
      </w:r>
      <w:r w:rsidR="001835B7" w:rsidRPr="00701AC5">
        <w:rPr>
          <w:rFonts w:ascii="Verdana" w:hAnsi="Verdana"/>
        </w:rPr>
        <w:t xml:space="preserve"> Τύπου Α: </w:t>
      </w:r>
      <w:r w:rsidR="00CD5F0A" w:rsidRPr="00701AC5">
        <w:rPr>
          <w:rFonts w:ascii="Verdana" w:hAnsi="Verdana"/>
        </w:rPr>
        <w:tab/>
      </w:r>
      <w:r w:rsidR="000C49DC" w:rsidRPr="00701AC5">
        <w:rPr>
          <w:rFonts w:ascii="Verdana" w:hAnsi="Verdana"/>
        </w:rPr>
        <w:tab/>
      </w:r>
      <w:r w:rsidR="001835B7" w:rsidRPr="00701AC5">
        <w:rPr>
          <w:rFonts w:ascii="Verdana" w:hAnsi="Verdana"/>
        </w:rPr>
        <w:t>4 ECTS</w:t>
      </w:r>
      <w:r w:rsidRPr="00701AC5">
        <w:rPr>
          <w:rFonts w:ascii="Verdana" w:hAnsi="Verdana"/>
        </w:rPr>
        <w:t>ανά μάθημα</w:t>
      </w:r>
    </w:p>
    <w:p w:rsidR="00CD5F0A" w:rsidRPr="00701AC5" w:rsidRDefault="00CD5F0A" w:rsidP="00CD5F0A">
      <w:pPr>
        <w:pStyle w:val="ListParagraph"/>
        <w:numPr>
          <w:ilvl w:val="0"/>
          <w:numId w:val="18"/>
        </w:numPr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>Πρακτικές Γλω</w:t>
      </w:r>
      <w:r w:rsidR="000C49DC" w:rsidRPr="00701AC5">
        <w:rPr>
          <w:rFonts w:ascii="Verdana" w:hAnsi="Verdana"/>
        </w:rPr>
        <w:t xml:space="preserve">σσικές Ασκήσεις: </w:t>
      </w:r>
      <w:r w:rsidR="000C49DC" w:rsidRPr="00701AC5">
        <w:rPr>
          <w:rFonts w:ascii="Verdana" w:hAnsi="Verdana"/>
        </w:rPr>
        <w:tab/>
      </w:r>
      <w:r w:rsidR="0012747F" w:rsidRPr="00701AC5">
        <w:rPr>
          <w:rFonts w:ascii="Verdana" w:hAnsi="Verdana"/>
        </w:rPr>
        <w:tab/>
      </w:r>
      <w:r w:rsidRPr="00701AC5">
        <w:rPr>
          <w:rFonts w:ascii="Verdana" w:hAnsi="Verdana"/>
        </w:rPr>
        <w:t>10 ECTS</w:t>
      </w:r>
      <w:r w:rsidR="00AE111B" w:rsidRPr="00701AC5">
        <w:rPr>
          <w:rFonts w:ascii="Verdana" w:hAnsi="Verdana"/>
        </w:rPr>
        <w:t>σύνολο</w:t>
      </w:r>
    </w:p>
    <w:p w:rsidR="00CD5F0A" w:rsidRPr="00701AC5" w:rsidRDefault="0012747F" w:rsidP="00CD5F0A">
      <w:pPr>
        <w:pStyle w:val="ListParagraph"/>
        <w:numPr>
          <w:ilvl w:val="0"/>
          <w:numId w:val="18"/>
        </w:numPr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 xml:space="preserve">Μαθήματα </w:t>
      </w:r>
      <w:r w:rsidR="001835B7" w:rsidRPr="00701AC5">
        <w:rPr>
          <w:rFonts w:ascii="Verdana" w:hAnsi="Verdana"/>
        </w:rPr>
        <w:t xml:space="preserve">Τύπου Β: </w:t>
      </w:r>
      <w:r w:rsidR="00CD5F0A" w:rsidRPr="00701AC5">
        <w:rPr>
          <w:rFonts w:ascii="Verdana" w:hAnsi="Verdana"/>
        </w:rPr>
        <w:tab/>
      </w:r>
      <w:r w:rsidR="00CD5F0A" w:rsidRPr="00701AC5">
        <w:rPr>
          <w:rFonts w:ascii="Verdana" w:hAnsi="Verdana"/>
        </w:rPr>
        <w:tab/>
      </w:r>
      <w:r w:rsidR="000C49DC" w:rsidRPr="00701AC5">
        <w:rPr>
          <w:rFonts w:ascii="Verdana" w:hAnsi="Verdana"/>
        </w:rPr>
        <w:tab/>
      </w:r>
      <w:r w:rsidR="00456042" w:rsidRPr="00701AC5">
        <w:rPr>
          <w:rFonts w:ascii="Verdana" w:hAnsi="Verdana"/>
        </w:rPr>
        <w:t xml:space="preserve">6 </w:t>
      </w:r>
      <w:r w:rsidR="001835B7" w:rsidRPr="00701AC5">
        <w:rPr>
          <w:rFonts w:ascii="Verdana" w:hAnsi="Verdana"/>
        </w:rPr>
        <w:t xml:space="preserve">ECTS </w:t>
      </w:r>
      <w:r w:rsidRPr="00701AC5">
        <w:rPr>
          <w:rFonts w:ascii="Verdana" w:hAnsi="Verdana"/>
        </w:rPr>
        <w:t>ανά μάθημα</w:t>
      </w:r>
    </w:p>
    <w:p w:rsidR="00CD5F0A" w:rsidRPr="00701AC5" w:rsidRDefault="0012747F" w:rsidP="00CD5F0A">
      <w:pPr>
        <w:pStyle w:val="ListParagraph"/>
        <w:numPr>
          <w:ilvl w:val="0"/>
          <w:numId w:val="18"/>
        </w:numPr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 xml:space="preserve">Μαθήματα </w:t>
      </w:r>
      <w:r w:rsidR="00CD5F0A" w:rsidRPr="00701AC5">
        <w:rPr>
          <w:rFonts w:ascii="Verdana" w:hAnsi="Verdana"/>
        </w:rPr>
        <w:t>από άλλ</w:t>
      </w:r>
      <w:r w:rsidRPr="00701AC5">
        <w:rPr>
          <w:rFonts w:ascii="Verdana" w:hAnsi="Verdana"/>
        </w:rPr>
        <w:t>α</w:t>
      </w:r>
      <w:r w:rsidR="00CD5F0A" w:rsidRPr="00701AC5">
        <w:rPr>
          <w:rFonts w:ascii="Verdana" w:hAnsi="Verdana"/>
        </w:rPr>
        <w:t xml:space="preserve"> Τμ</w:t>
      </w:r>
      <w:r w:rsidR="006D524C" w:rsidRPr="00701AC5">
        <w:rPr>
          <w:rFonts w:ascii="Verdana" w:hAnsi="Verdana"/>
        </w:rPr>
        <w:t>ήμα</w:t>
      </w:r>
      <w:r w:rsidRPr="00701AC5">
        <w:rPr>
          <w:rFonts w:ascii="Verdana" w:hAnsi="Verdana"/>
        </w:rPr>
        <w:t>τα</w:t>
      </w:r>
      <w:r w:rsidR="00CD5F0A" w:rsidRPr="00701AC5">
        <w:rPr>
          <w:rFonts w:ascii="Verdana" w:hAnsi="Verdana"/>
        </w:rPr>
        <w:t xml:space="preserve">: </w:t>
      </w:r>
      <w:r w:rsidR="00CD5F0A" w:rsidRPr="00701AC5">
        <w:rPr>
          <w:rFonts w:ascii="Verdana" w:hAnsi="Verdana"/>
        </w:rPr>
        <w:tab/>
      </w:r>
      <w:r w:rsidR="000C49DC" w:rsidRPr="00701AC5">
        <w:rPr>
          <w:rFonts w:ascii="Verdana" w:hAnsi="Verdana"/>
        </w:rPr>
        <w:tab/>
      </w:r>
      <w:r w:rsidR="00CD5F0A" w:rsidRPr="00701AC5">
        <w:rPr>
          <w:rFonts w:ascii="Verdana" w:hAnsi="Verdana"/>
        </w:rPr>
        <w:t>4 ECTS</w:t>
      </w:r>
      <w:r w:rsidRPr="00701AC5">
        <w:rPr>
          <w:rFonts w:ascii="Verdana" w:hAnsi="Verdana"/>
        </w:rPr>
        <w:t xml:space="preserve"> ανά μάθημα</w:t>
      </w:r>
    </w:p>
    <w:p w:rsidR="00CD5F0A" w:rsidRPr="00701AC5" w:rsidRDefault="00CD5F0A" w:rsidP="00CD5F0A">
      <w:pPr>
        <w:pStyle w:val="ListParagraph"/>
        <w:numPr>
          <w:ilvl w:val="0"/>
          <w:numId w:val="18"/>
        </w:numPr>
        <w:spacing w:before="240" w:after="240" w:line="360" w:lineRule="auto"/>
        <w:jc w:val="both"/>
        <w:rPr>
          <w:rFonts w:ascii="Verdana" w:hAnsi="Verdana"/>
        </w:rPr>
      </w:pPr>
      <w:r w:rsidRPr="00701AC5">
        <w:rPr>
          <w:rFonts w:ascii="Verdana" w:hAnsi="Verdana"/>
        </w:rPr>
        <w:t xml:space="preserve">Διπλωματική εργασία: </w:t>
      </w:r>
      <w:r w:rsidRPr="00701AC5">
        <w:rPr>
          <w:rFonts w:ascii="Verdana" w:hAnsi="Verdana"/>
        </w:rPr>
        <w:tab/>
      </w:r>
      <w:r w:rsidRPr="00701AC5">
        <w:rPr>
          <w:rFonts w:ascii="Verdana" w:hAnsi="Verdana"/>
        </w:rPr>
        <w:tab/>
      </w:r>
      <w:r w:rsidR="000C49DC" w:rsidRPr="00701AC5">
        <w:rPr>
          <w:rFonts w:ascii="Verdana" w:hAnsi="Verdana"/>
        </w:rPr>
        <w:tab/>
      </w:r>
      <w:r w:rsidRPr="00701AC5">
        <w:rPr>
          <w:rFonts w:ascii="Verdana" w:hAnsi="Verdana"/>
        </w:rPr>
        <w:t>30 ECTS</w:t>
      </w:r>
    </w:p>
    <w:p w:rsidR="000779EB" w:rsidRPr="00610969" w:rsidRDefault="000779EB" w:rsidP="009F35DE">
      <w:pPr>
        <w:pStyle w:val="Heading1"/>
        <w:spacing w:before="600"/>
        <w:jc w:val="center"/>
        <w:rPr>
          <w:rFonts w:ascii="Verdana" w:hAnsi="Verdana"/>
          <w:color w:val="auto"/>
          <w:sz w:val="22"/>
          <w:szCs w:val="22"/>
        </w:rPr>
      </w:pPr>
      <w:bookmarkStart w:id="4" w:name="_Toc461558030"/>
      <w:r w:rsidRPr="00610969">
        <w:rPr>
          <w:rFonts w:ascii="Verdana" w:hAnsi="Verdana"/>
          <w:color w:val="auto"/>
          <w:sz w:val="22"/>
          <w:szCs w:val="22"/>
        </w:rPr>
        <w:t>ΜΑΘΗΜΑΤΑ ΤΥΠΟΥ Α (1ο–4ο ΕΞΑΜΗΝΟ)</w:t>
      </w:r>
      <w:bookmarkEnd w:id="4"/>
    </w:p>
    <w:p w:rsidR="000779EB" w:rsidRPr="00610969" w:rsidRDefault="000779EB" w:rsidP="00024895">
      <w:pPr>
        <w:spacing w:before="240" w:after="240" w:line="360" w:lineRule="auto"/>
        <w:jc w:val="center"/>
        <w:rPr>
          <w:rFonts w:ascii="Verdana" w:hAnsi="Verdana"/>
        </w:rPr>
      </w:pPr>
      <w:r w:rsidRPr="00610969">
        <w:rPr>
          <w:rFonts w:ascii="Verdana" w:hAnsi="Verdana"/>
        </w:rPr>
        <w:t>(22 υποχρεωτικά μαθήματα)</w:t>
      </w:r>
    </w:p>
    <w:p w:rsidR="000779EB" w:rsidRPr="00610969" w:rsidRDefault="000779EB" w:rsidP="00024895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Τα 22 Μαθήματα Τύπου Α, που απευθύνονται στους φοιτητές των τεσσά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ρων πρώτων εξαμήνων, είναι υποχρεωτικά και έχουν κατά κύριο λόγο ε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>σαγωγικό χαρακτήρα στα επιμέρους επιστημονικά αντικείμενα</w:t>
      </w:r>
      <w:r w:rsidR="001F4103" w:rsidRPr="001F4103">
        <w:rPr>
          <w:rFonts w:ascii="Verdana" w:hAnsi="Verdana"/>
        </w:rPr>
        <w:t xml:space="preserve"> που θερα</w:t>
      </w:r>
      <w:r w:rsidR="00F27730">
        <w:rPr>
          <w:rFonts w:ascii="Verdana" w:hAnsi="Verdana"/>
        </w:rPr>
        <w:softHyphen/>
      </w:r>
      <w:r w:rsidR="001F4103" w:rsidRPr="001F4103">
        <w:rPr>
          <w:rFonts w:ascii="Verdana" w:hAnsi="Verdana"/>
        </w:rPr>
        <w:t>πε</w:t>
      </w:r>
      <w:r w:rsidR="00FC1804">
        <w:rPr>
          <w:rFonts w:ascii="Verdana" w:hAnsi="Verdana"/>
        </w:rPr>
        <w:t>ύει το Τμήμα</w:t>
      </w:r>
      <w:r w:rsidRPr="00610969">
        <w:rPr>
          <w:rFonts w:ascii="Verdana" w:hAnsi="Verdana"/>
        </w:rPr>
        <w:t>.</w:t>
      </w:r>
    </w:p>
    <w:p w:rsidR="000779EB" w:rsidRPr="00610969" w:rsidRDefault="000779EB" w:rsidP="00024895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Πρόκειται για τα εξής μαθήματα: </w:t>
      </w:r>
    </w:p>
    <w:p w:rsidR="000779EB" w:rsidRPr="00610969" w:rsidRDefault="003D7B33" w:rsidP="00610969">
      <w:pPr>
        <w:pStyle w:val="Heading2"/>
        <w:pageBreakBefore/>
        <w:rPr>
          <w:sz w:val="22"/>
          <w:szCs w:val="22"/>
          <w:lang w:val="el-GR"/>
        </w:rPr>
      </w:pPr>
      <w:bookmarkStart w:id="5" w:name="_Toc461558031"/>
      <w:r w:rsidRPr="00610969">
        <w:rPr>
          <w:sz w:val="22"/>
          <w:szCs w:val="22"/>
          <w:lang w:val="el-GR"/>
        </w:rPr>
        <w:lastRenderedPageBreak/>
        <w:t xml:space="preserve">Ι. </w:t>
      </w:r>
      <w:r w:rsidR="00701AC5">
        <w:rPr>
          <w:sz w:val="22"/>
          <w:szCs w:val="22"/>
          <w:lang w:val="el-GR"/>
        </w:rPr>
        <w:t>Κλάδος</w:t>
      </w:r>
      <w:r w:rsidRPr="00610969">
        <w:rPr>
          <w:sz w:val="22"/>
          <w:szCs w:val="22"/>
          <w:lang w:val="el-GR"/>
        </w:rPr>
        <w:t xml:space="preserve"> Γλωσσολογίας</w:t>
      </w:r>
      <w:bookmarkEnd w:id="5"/>
    </w:p>
    <w:p w:rsidR="000779EB" w:rsidRPr="00610969" w:rsidRDefault="000779EB" w:rsidP="009F35DE">
      <w:pPr>
        <w:spacing w:after="240" w:line="360" w:lineRule="auto"/>
        <w:jc w:val="center"/>
        <w:rPr>
          <w:rFonts w:ascii="Verdana" w:hAnsi="Verdana"/>
        </w:rPr>
      </w:pPr>
      <w:r w:rsidRPr="00610969">
        <w:rPr>
          <w:rFonts w:ascii="Verdana" w:hAnsi="Verdana"/>
        </w:rPr>
        <w:t>(10 υποχρεωτικά μαθήματα)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DGY 10: Εισαγωγή στη Γλωσσολογία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DGY 11: Μορφολογία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12: Φωνητική / Φωνολογία 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13: Σύνταξη 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DGY 14: Λεξικολογία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DGY 15: Σημασιολογία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16: Συγκριτική Γλωσσολογία 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17: Πραγματολογία 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18: Εισαγωγή στη Διδακτική της </w:t>
      </w:r>
      <w:r w:rsidR="00024895" w:rsidRPr="00610969">
        <w:rPr>
          <w:rFonts w:ascii="Verdana" w:hAnsi="Verdana"/>
        </w:rPr>
        <w:t xml:space="preserve">Γερμανικής ως Ξένης Γλώσσας I </w:t>
      </w:r>
    </w:p>
    <w:p w:rsidR="000779EB" w:rsidRPr="00610969" w:rsidRDefault="000779EB" w:rsidP="009F35DE">
      <w:pPr>
        <w:numPr>
          <w:ilvl w:val="0"/>
          <w:numId w:val="1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 xml:space="preserve">DGY 19: Εισαγωγή στη Διδακτική της Γερμανικής ως Ξένης Γλώσσας II </w:t>
      </w:r>
    </w:p>
    <w:p w:rsidR="003D7B33" w:rsidRPr="00610969" w:rsidRDefault="003D7B33" w:rsidP="00454A16">
      <w:pPr>
        <w:spacing w:after="0" w:line="360" w:lineRule="auto"/>
        <w:jc w:val="both"/>
        <w:rPr>
          <w:rFonts w:ascii="Verdana" w:hAnsi="Verdana"/>
          <w:b/>
          <w:bCs/>
        </w:rPr>
      </w:pPr>
    </w:p>
    <w:p w:rsidR="000779EB" w:rsidRPr="00610969" w:rsidRDefault="003D7B33" w:rsidP="00071991">
      <w:pPr>
        <w:pStyle w:val="Heading2"/>
        <w:rPr>
          <w:sz w:val="22"/>
          <w:szCs w:val="22"/>
          <w:lang w:val="el-GR"/>
        </w:rPr>
      </w:pPr>
      <w:bookmarkStart w:id="6" w:name="_Toc461558032"/>
      <w:r w:rsidRPr="00610969">
        <w:rPr>
          <w:sz w:val="22"/>
          <w:szCs w:val="22"/>
          <w:lang w:val="el-GR"/>
        </w:rPr>
        <w:t xml:space="preserve">ΙΙ. </w:t>
      </w:r>
      <w:r w:rsidR="00701AC5">
        <w:rPr>
          <w:sz w:val="22"/>
          <w:szCs w:val="22"/>
          <w:lang w:val="el-GR"/>
        </w:rPr>
        <w:t>Κλάδος</w:t>
      </w:r>
      <w:r w:rsidRPr="00610969">
        <w:rPr>
          <w:sz w:val="22"/>
          <w:szCs w:val="22"/>
          <w:lang w:val="el-GR"/>
        </w:rPr>
        <w:t xml:space="preserve"> Λογοτεχνίας</w:t>
      </w:r>
      <w:bookmarkEnd w:id="6"/>
    </w:p>
    <w:p w:rsidR="000779EB" w:rsidRPr="00610969" w:rsidRDefault="000779EB" w:rsidP="009F35DE">
      <w:pPr>
        <w:spacing w:after="240" w:line="360" w:lineRule="auto"/>
        <w:jc w:val="center"/>
        <w:rPr>
          <w:rFonts w:ascii="Verdana" w:hAnsi="Verdana"/>
        </w:rPr>
      </w:pPr>
      <w:r w:rsidRPr="00610969">
        <w:rPr>
          <w:rFonts w:ascii="Verdana" w:hAnsi="Verdana"/>
        </w:rPr>
        <w:t>(10 υποχρεωτικά μαθήματα)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20: Εισαγωγή στην Επιστήμη της Λογοτεχνίας Ι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21: Εισαγωγή στην Επιστήμη της Λογοτεχνίας ΙΙ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22: Λογοτεχνία του 18ου αιώνα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23: Λογοτεχνία του 19ου αιώνα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24: Λογοτεχνία του 20ού αιώνα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25: Σύγχρονη Λογοτεχνία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26: Θεωρία της Λογοτεχνίας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27: Συγκριτική Φιλολογία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28: Εισαγωγή στη Θεωρία και Πρακτική της Μετάφρασης</w:t>
      </w:r>
    </w:p>
    <w:p w:rsidR="000779EB" w:rsidRPr="00610969" w:rsidRDefault="000779EB" w:rsidP="009F35DE">
      <w:pPr>
        <w:numPr>
          <w:ilvl w:val="0"/>
          <w:numId w:val="2"/>
        </w:numPr>
        <w:ind w:left="426"/>
        <w:rPr>
          <w:rFonts w:ascii="Verdana" w:hAnsi="Verdana"/>
        </w:rPr>
      </w:pPr>
      <w:r w:rsidRPr="00610969">
        <w:rPr>
          <w:rFonts w:ascii="Verdana" w:hAnsi="Verdana"/>
        </w:rPr>
        <w:t>DLY 29: Γερμανικός Πολιτισμός</w:t>
      </w:r>
    </w:p>
    <w:p w:rsidR="002B788F" w:rsidRPr="00610969" w:rsidRDefault="000779EB" w:rsidP="009F35DE">
      <w:pPr>
        <w:pStyle w:val="Heading2"/>
        <w:pageBreakBefore/>
        <w:rPr>
          <w:sz w:val="22"/>
          <w:szCs w:val="22"/>
          <w:lang w:val="el-GR"/>
        </w:rPr>
      </w:pPr>
      <w:bookmarkStart w:id="7" w:name="_Toc461558033"/>
      <w:r w:rsidRPr="00610969">
        <w:rPr>
          <w:sz w:val="22"/>
          <w:szCs w:val="22"/>
          <w:lang w:val="el-GR"/>
        </w:rPr>
        <w:lastRenderedPageBreak/>
        <w:t xml:space="preserve">ΙΙΙ. </w:t>
      </w:r>
      <w:r w:rsidR="002B788F" w:rsidRPr="00610969">
        <w:rPr>
          <w:sz w:val="22"/>
          <w:szCs w:val="22"/>
          <w:lang w:val="el-GR"/>
        </w:rPr>
        <w:t>Πρόγραμμα Σπουδών Πρακτικές Γλωσσικές Ασκήσεις (ΠΓΑ)</w:t>
      </w:r>
      <w:bookmarkEnd w:id="7"/>
    </w:p>
    <w:p w:rsidR="000779EB" w:rsidRPr="00610969" w:rsidRDefault="000779EB" w:rsidP="003D7B33">
      <w:pPr>
        <w:spacing w:before="200"/>
        <w:rPr>
          <w:rFonts w:ascii="Verdana" w:hAnsi="Verdana"/>
        </w:rPr>
      </w:pPr>
      <w:r w:rsidRPr="00610969">
        <w:rPr>
          <w:rFonts w:ascii="Verdana" w:hAnsi="Verdana"/>
        </w:rPr>
        <w:t xml:space="preserve">DAY 01: Πρακτικές Γλωσσικές Ασκήσεις </w:t>
      </w:r>
    </w:p>
    <w:p w:rsidR="002B788F" w:rsidRPr="00610969" w:rsidRDefault="002B788F" w:rsidP="002B788F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Στόχος του Προγράμματος </w:t>
      </w:r>
      <w:r w:rsidR="00FC1804">
        <w:rPr>
          <w:rFonts w:ascii="Verdana" w:hAnsi="Verdana"/>
        </w:rPr>
        <w:t>Σ</w:t>
      </w:r>
      <w:r w:rsidRPr="00610969">
        <w:rPr>
          <w:rFonts w:ascii="Verdana" w:hAnsi="Verdana"/>
        </w:rPr>
        <w:t xml:space="preserve">πουδών «Πρακτικές Γλωσσικές Ασκήσεις (ΠΓΑ)» είναι η ενίσχυση της γλωσσικής επάρκειας των φοιτητών, οι οποίοι στα πρώτα εξάμηνα </w:t>
      </w:r>
      <w:r w:rsidR="00FC1804">
        <w:rPr>
          <w:rFonts w:ascii="Verdana" w:hAnsi="Verdana"/>
        </w:rPr>
        <w:t xml:space="preserve">των </w:t>
      </w:r>
      <w:r w:rsidRPr="00610969">
        <w:rPr>
          <w:rFonts w:ascii="Verdana" w:hAnsi="Verdana"/>
        </w:rPr>
        <w:t>σπουδών</w:t>
      </w:r>
      <w:r w:rsidR="00FC1804">
        <w:rPr>
          <w:rFonts w:ascii="Verdana" w:hAnsi="Verdana"/>
        </w:rPr>
        <w:t xml:space="preserve"> τους</w:t>
      </w:r>
      <w:r w:rsidRPr="00610969">
        <w:rPr>
          <w:rFonts w:ascii="Verdana" w:hAnsi="Verdana"/>
        </w:rPr>
        <w:t xml:space="preserve"> καλούνται να ανταποκριθούν σε συνεχώς αυξανόμενες απαιτήσεις στη γνώση και χρήση της γερμανικής γλώσσας. Με την προσφορά τεσσάρων μαθημάτων γλώσσας, τα οποία 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ντιστοιχούν στα τέσσερα πρώτα εξάμηνα των σπουδών, επιδιώκεται η συ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στηματική υποστήριξη των φοιτητών στην εκμάθηση της Γερμανικής, ώστε με την ολοκλήρωση του Προγράμματος ΠΓΑ οι φοιτητές να έχουν αποκτή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σει σε προχωρημένο επίπεδο (Γ1) τόσο γενικές επικοινωνιακές, όσο και ε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 xml:space="preserve">δικές γλωσσικές / γλωσσολογικές δεξιότητες. </w:t>
      </w:r>
    </w:p>
    <w:p w:rsidR="002B788F" w:rsidRPr="00610969" w:rsidRDefault="002B788F" w:rsidP="002B788F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Συγκεκριμένα το Πρόγραμμα Σπουδών ΠΓΑ έχει ως εξής:</w:t>
      </w:r>
    </w:p>
    <w:p w:rsidR="002B788F" w:rsidRPr="00AE111B" w:rsidRDefault="002B788F" w:rsidP="0057598E">
      <w:pPr>
        <w:rPr>
          <w:rFonts w:ascii="Verdana" w:hAnsi="Verdana"/>
          <w:b/>
        </w:rPr>
      </w:pPr>
      <w:r w:rsidRPr="00AE111B">
        <w:rPr>
          <w:rFonts w:ascii="Verdana" w:hAnsi="Verdana"/>
          <w:b/>
        </w:rPr>
        <w:t>Μαθήματα, ώρες διδασκαλίας και παρακολούθηση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Υπάρχουν τέσσερα μαθήματα Γλώσσας, τα οποία αντιστοιχούν στα τέσ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σερα πρώτα εξάμηνα των σπουδών: Γλώσσα Ι, Γλώσσα ΙΙ, Γλώσσα ΙΙΙ και Γλώσσα IV. Τα μαθήματα αυτά έχουν ξεχωριστούς κωδικούς και ξε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χωριστή εξέταση.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Τα μαθήματα αντιστοιχούν στα επίπεδα του Κοινού Ευρωπαϊκού Πλαι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σίου Αναφοράς για τις Γλώσσες ως εξής:</w:t>
      </w:r>
    </w:p>
    <w:p w:rsidR="002B788F" w:rsidRPr="00610969" w:rsidRDefault="002B788F" w:rsidP="0012747F">
      <w:pPr>
        <w:pStyle w:val="ListParagraph"/>
        <w:tabs>
          <w:tab w:val="left" w:pos="1560"/>
          <w:tab w:val="left" w:pos="1985"/>
        </w:tabs>
        <w:spacing w:before="120" w:after="120" w:line="240" w:lineRule="auto"/>
        <w:ind w:left="426"/>
        <w:contextualSpacing w:val="0"/>
        <w:rPr>
          <w:rFonts w:ascii="Verdana" w:hAnsi="Verdana"/>
        </w:rPr>
      </w:pPr>
      <w:r w:rsidRPr="00610969">
        <w:rPr>
          <w:rFonts w:ascii="Verdana" w:hAnsi="Verdana"/>
        </w:rPr>
        <w:t xml:space="preserve">Γλώσσα Ι </w:t>
      </w:r>
      <w:r w:rsidRPr="00610969">
        <w:rPr>
          <w:rFonts w:ascii="Verdana" w:hAnsi="Verdana"/>
        </w:rPr>
        <w:tab/>
      </w:r>
      <w:r w:rsidR="00830B94" w:rsidRPr="00610969">
        <w:rPr>
          <w:rFonts w:ascii="Verdana" w:hAnsi="Verdana"/>
        </w:rPr>
        <w:tab/>
      </w:r>
      <w:r w:rsidRPr="00610969">
        <w:rPr>
          <w:rFonts w:ascii="Verdana" w:hAnsi="Verdana"/>
        </w:rPr>
        <w:sym w:font="Wingdings" w:char="F0E0"/>
      </w:r>
      <w:r w:rsidRPr="00610969">
        <w:rPr>
          <w:rFonts w:ascii="Verdana" w:hAnsi="Verdana"/>
        </w:rPr>
        <w:tab/>
        <w:t>Β1+</w:t>
      </w:r>
    </w:p>
    <w:p w:rsidR="002B788F" w:rsidRPr="00610969" w:rsidRDefault="002B788F" w:rsidP="0012747F">
      <w:pPr>
        <w:pStyle w:val="ListParagraph"/>
        <w:tabs>
          <w:tab w:val="left" w:pos="1560"/>
          <w:tab w:val="left" w:pos="1985"/>
        </w:tabs>
        <w:spacing w:after="120" w:line="240" w:lineRule="auto"/>
        <w:ind w:left="426"/>
        <w:contextualSpacing w:val="0"/>
        <w:rPr>
          <w:rFonts w:ascii="Verdana" w:hAnsi="Verdana"/>
        </w:rPr>
      </w:pPr>
      <w:r w:rsidRPr="00610969">
        <w:rPr>
          <w:rFonts w:ascii="Verdana" w:hAnsi="Verdana"/>
        </w:rPr>
        <w:t xml:space="preserve">Γλώσσα ΙΙ </w:t>
      </w:r>
      <w:r w:rsidRPr="00610969">
        <w:rPr>
          <w:rFonts w:ascii="Verdana" w:hAnsi="Verdana"/>
        </w:rPr>
        <w:tab/>
      </w:r>
      <w:r w:rsidRPr="00610969">
        <w:rPr>
          <w:rFonts w:ascii="Verdana" w:hAnsi="Verdana"/>
        </w:rPr>
        <w:sym w:font="Wingdings" w:char="F0E0"/>
      </w:r>
      <w:r w:rsidRPr="00610969">
        <w:rPr>
          <w:rFonts w:ascii="Verdana" w:hAnsi="Verdana"/>
        </w:rPr>
        <w:tab/>
        <w:t>Β2</w:t>
      </w:r>
    </w:p>
    <w:p w:rsidR="002B788F" w:rsidRPr="00610969" w:rsidRDefault="002B788F" w:rsidP="0012747F">
      <w:pPr>
        <w:pStyle w:val="ListParagraph"/>
        <w:tabs>
          <w:tab w:val="left" w:pos="1560"/>
          <w:tab w:val="left" w:pos="1985"/>
        </w:tabs>
        <w:spacing w:after="120" w:line="240" w:lineRule="auto"/>
        <w:ind w:left="426"/>
        <w:contextualSpacing w:val="0"/>
        <w:rPr>
          <w:rFonts w:ascii="Verdana" w:hAnsi="Verdana"/>
        </w:rPr>
      </w:pPr>
      <w:r w:rsidRPr="00610969">
        <w:rPr>
          <w:rFonts w:ascii="Verdana" w:hAnsi="Verdana"/>
        </w:rPr>
        <w:t xml:space="preserve">Γλώσσα ΙΙΙ </w:t>
      </w:r>
      <w:r w:rsidRPr="00610969">
        <w:rPr>
          <w:rFonts w:ascii="Verdana" w:hAnsi="Verdana"/>
        </w:rPr>
        <w:tab/>
      </w:r>
      <w:r w:rsidRPr="00610969">
        <w:rPr>
          <w:rFonts w:ascii="Verdana" w:hAnsi="Verdana"/>
        </w:rPr>
        <w:sym w:font="Wingdings" w:char="F0E0"/>
      </w:r>
      <w:r w:rsidRPr="00610969">
        <w:rPr>
          <w:rFonts w:ascii="Verdana" w:hAnsi="Verdana"/>
        </w:rPr>
        <w:tab/>
        <w:t>Β2+</w:t>
      </w:r>
    </w:p>
    <w:p w:rsidR="002B788F" w:rsidRPr="00610969" w:rsidRDefault="002B788F" w:rsidP="0012747F">
      <w:pPr>
        <w:pStyle w:val="ListParagraph"/>
        <w:tabs>
          <w:tab w:val="left" w:pos="1560"/>
          <w:tab w:val="left" w:pos="1985"/>
        </w:tabs>
        <w:spacing w:after="240" w:line="240" w:lineRule="auto"/>
        <w:ind w:left="426"/>
        <w:contextualSpacing w:val="0"/>
        <w:rPr>
          <w:rFonts w:ascii="Verdana" w:hAnsi="Verdana"/>
        </w:rPr>
      </w:pPr>
      <w:r w:rsidRPr="00610969">
        <w:rPr>
          <w:rFonts w:ascii="Verdana" w:hAnsi="Verdana"/>
        </w:rPr>
        <w:t xml:space="preserve">Γλώσσα IV </w:t>
      </w:r>
      <w:r w:rsidRPr="00610969">
        <w:rPr>
          <w:rFonts w:ascii="Verdana" w:hAnsi="Verdana"/>
        </w:rPr>
        <w:tab/>
      </w:r>
      <w:r w:rsidRPr="00610969">
        <w:rPr>
          <w:rFonts w:ascii="Verdana" w:hAnsi="Verdana"/>
        </w:rPr>
        <w:sym w:font="Wingdings" w:char="F0E0"/>
      </w:r>
      <w:r w:rsidRPr="00610969">
        <w:rPr>
          <w:rFonts w:ascii="Verdana" w:hAnsi="Verdana"/>
        </w:rPr>
        <w:tab/>
        <w:t>Γ1</w:t>
      </w:r>
    </w:p>
    <w:p w:rsidR="002B788F" w:rsidRPr="00610969" w:rsidRDefault="004F52BF" w:rsidP="0012747F">
      <w:pPr>
        <w:pStyle w:val="ListParagraph"/>
        <w:tabs>
          <w:tab w:val="left" w:pos="1560"/>
          <w:tab w:val="left" w:pos="1985"/>
        </w:tabs>
        <w:spacing w:before="120" w:line="360" w:lineRule="auto"/>
        <w:ind w:left="426"/>
        <w:contextualSpacing w:val="0"/>
        <w:rPr>
          <w:rFonts w:ascii="Verdana" w:hAnsi="Verdana"/>
        </w:rPr>
      </w:pPr>
      <w:r w:rsidRPr="00487E28">
        <w:rPr>
          <w:rFonts w:ascii="Verdana" w:hAnsi="Verdana"/>
        </w:rPr>
        <w:t xml:space="preserve">Επιπλέον στα </w:t>
      </w:r>
      <w:r w:rsidRPr="00BB7E6B">
        <w:rPr>
          <w:rFonts w:ascii="Verdana" w:hAnsi="Verdana"/>
        </w:rPr>
        <w:t xml:space="preserve">μαθήματα </w:t>
      </w:r>
      <w:r w:rsidR="00487E28" w:rsidRPr="00BB7E6B">
        <w:rPr>
          <w:rFonts w:ascii="Verdana" w:hAnsi="Verdana"/>
        </w:rPr>
        <w:t xml:space="preserve">αυτά </w:t>
      </w:r>
      <w:r w:rsidRPr="00487E28">
        <w:rPr>
          <w:rFonts w:ascii="Verdana" w:hAnsi="Verdana"/>
        </w:rPr>
        <w:t>δίνεται ιδιαίτερη βαρύτητα στην προετοι</w:t>
      </w:r>
      <w:r w:rsidR="00F27730">
        <w:rPr>
          <w:rFonts w:ascii="Verdana" w:hAnsi="Verdana"/>
        </w:rPr>
        <w:softHyphen/>
      </w:r>
      <w:r w:rsidRPr="00487E28">
        <w:rPr>
          <w:rFonts w:ascii="Verdana" w:hAnsi="Verdana"/>
        </w:rPr>
        <w:t>μασία των φοιτητών για τις σπουδές τους στα ανώτερα εξάμηνα</w:t>
      </w:r>
      <w:r w:rsidR="002B788F" w:rsidRPr="00610969">
        <w:rPr>
          <w:rFonts w:ascii="Verdana" w:hAnsi="Verdana"/>
        </w:rPr>
        <w:t>.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Ο φοιτητής θα πρέπει να έχει περάσει </w:t>
      </w:r>
      <w:r w:rsidRPr="00610969">
        <w:rPr>
          <w:rFonts w:ascii="Verdana" w:hAnsi="Verdana"/>
          <w:b/>
        </w:rPr>
        <w:t>και</w:t>
      </w:r>
      <w:r w:rsidRPr="00610969">
        <w:rPr>
          <w:rFonts w:ascii="Verdana" w:hAnsi="Verdana"/>
        </w:rPr>
        <w:t xml:space="preserve"> τα τέσσερα μαθήματα Γλώσ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σας, προκειμένου να</w:t>
      </w:r>
      <w:r w:rsidR="00830B94" w:rsidRPr="00610969">
        <w:rPr>
          <w:rFonts w:ascii="Verdana" w:hAnsi="Verdana"/>
        </w:rPr>
        <w:t xml:space="preserve"> συνεχίσει τις σπουδές του στο </w:t>
      </w:r>
      <w:r w:rsidR="0012747F" w:rsidRPr="00610969">
        <w:rPr>
          <w:rFonts w:ascii="Verdana" w:hAnsi="Verdana"/>
        </w:rPr>
        <w:t>5ο</w:t>
      </w:r>
      <w:r w:rsidRPr="00610969">
        <w:rPr>
          <w:rFonts w:ascii="Verdana" w:hAnsi="Verdana"/>
        </w:rPr>
        <w:t xml:space="preserve"> εξάμηνο (προ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απαιτούμενα). 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Τα μαθήματα «Γλώσσα Ι» και «Γλώσσα ΙΙΙ» προσφέρονται το χειμερινό εξάμηνο, τα μαθήματα «Γλώσσα ΙΙ» και «Γλώσσα IV» το εαρινό εξά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μηνο.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lastRenderedPageBreak/>
        <w:t>Τα μαθήματα διδάσκονται έξι (6) ώρες την εβδομάδα το καθένα, εκ των οποίων τρεις ώρες είναι μάθημα κορμού και τρεις ώρες είναι μά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θημα εμπέδωσης/εμβάθυνσης. 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Απαλλαγή από εξέταση ή αναγνώριση μαθημάτων δεν προβλέπεται. Όλοι οι φοιτητές συμμετέχουν σε όλες τις εξετάσεις. 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Η παρακολούθηση των μαθημάτων είναι υποχρεωτική και αφορά τόσο το μάθημα κορμού όσο και το μάθημα εμπέδωσης/εμβάθυνσης. Σε ορι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σμένες περιπτώσεις προβλέπεται απαλλαγή από την παρακολούθηση μαθημάτων (όχι όμως και από την υποχρέωση οι φοιτητές να δηλώ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σουν τα μαθήματα και να συμμετέχουν στις εξετάσεις). Οι περιπτώσεις απαλλαγής από την παρακολούθηση των μαθημάτων είναι οι εξής: </w:t>
      </w:r>
    </w:p>
    <w:p w:rsidR="002B788F" w:rsidRPr="00610969" w:rsidRDefault="002B788F" w:rsidP="0012747F">
      <w:pPr>
        <w:pStyle w:val="ListParagraph"/>
        <w:numPr>
          <w:ilvl w:val="0"/>
          <w:numId w:val="25"/>
        </w:numPr>
        <w:spacing w:before="120" w:after="0" w:line="360" w:lineRule="auto"/>
        <w:ind w:hanging="294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Φοιτητές </w:t>
      </w:r>
      <w:r w:rsidR="000C1D12">
        <w:rPr>
          <w:rFonts w:ascii="Verdana" w:hAnsi="Verdana"/>
        </w:rPr>
        <w:t xml:space="preserve">με </w:t>
      </w:r>
      <w:r w:rsidRPr="00610969">
        <w:rPr>
          <w:rFonts w:ascii="Verdana" w:hAnsi="Verdana"/>
        </w:rPr>
        <w:t>πιστοποιητικό γλωσσομάθειας Γ, απόφοιτοι της Γερμανι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κής Σχολής, Έλληνες του εξωτερικού με γερμανικό Abitur και εισα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γόμενοι με κατατακτήριες εξετάσεις απαλλάσσονται από την</w:t>
      </w:r>
      <w:r w:rsidR="000C1D12">
        <w:rPr>
          <w:rFonts w:ascii="Verdana" w:hAnsi="Verdana"/>
        </w:rPr>
        <w:t xml:space="preserve"> υπο</w:t>
      </w:r>
      <w:r w:rsidR="00F27730">
        <w:rPr>
          <w:rFonts w:ascii="Verdana" w:hAnsi="Verdana"/>
        </w:rPr>
        <w:softHyphen/>
      </w:r>
      <w:r w:rsidR="000C1D12">
        <w:rPr>
          <w:rFonts w:ascii="Verdana" w:hAnsi="Verdana"/>
        </w:rPr>
        <w:t>χρεωτική</w:t>
      </w:r>
      <w:r w:rsidRPr="00610969">
        <w:rPr>
          <w:rFonts w:ascii="Verdana" w:hAnsi="Verdana"/>
        </w:rPr>
        <w:t xml:space="preserve"> παρακολούθηση των μαθημάτων Γλώσσας.</w:t>
      </w:r>
    </w:p>
    <w:p w:rsidR="002B788F" w:rsidRPr="00610969" w:rsidRDefault="002B788F" w:rsidP="0012747F">
      <w:pPr>
        <w:pStyle w:val="ListParagraph"/>
        <w:numPr>
          <w:ilvl w:val="0"/>
          <w:numId w:val="25"/>
        </w:numPr>
        <w:spacing w:before="120" w:after="0" w:line="360" w:lineRule="auto"/>
        <w:ind w:hanging="294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Φοιτητές, οι οποίοι έχουν πιστοποιητικό γλωσσομάθειας Β2 απα</w:t>
      </w:r>
      <w:r w:rsidRPr="00610969">
        <w:rPr>
          <w:rFonts w:ascii="Verdana" w:hAnsi="Verdana"/>
        </w:rPr>
        <w:t>λ</w:t>
      </w:r>
      <w:r w:rsidRPr="00610969">
        <w:rPr>
          <w:rFonts w:ascii="Verdana" w:hAnsi="Verdana"/>
        </w:rPr>
        <w:t>λάσ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σονται από την παρακολούθηση των μαθημάτων «Γλώσσα Ι» και «Γλώσσα ΙΙ».</w:t>
      </w:r>
    </w:p>
    <w:p w:rsidR="002B788F" w:rsidRPr="00610969" w:rsidRDefault="002B788F" w:rsidP="0012747F">
      <w:pPr>
        <w:pStyle w:val="ListParagraph"/>
        <w:numPr>
          <w:ilvl w:val="0"/>
          <w:numId w:val="25"/>
        </w:numPr>
        <w:spacing w:before="120" w:after="0" w:line="360" w:lineRule="auto"/>
        <w:ind w:hanging="294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Φοιτητές, οι οποίοι έχουν πιστοποιητικό γλωσσομάθειας Β1 ή Α πρέ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πει να παρακολουθήσουν όλα τα μαθήματα Γλώσσας. 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Κατά την εγγραφή τους οι φοιτητές του </w:t>
      </w:r>
      <w:r w:rsidR="0012747F" w:rsidRPr="00610969">
        <w:rPr>
          <w:rFonts w:ascii="Verdana" w:hAnsi="Verdana"/>
        </w:rPr>
        <w:t>1ου</w:t>
      </w:r>
      <w:r w:rsidRPr="00610969">
        <w:rPr>
          <w:rFonts w:ascii="Verdana" w:hAnsi="Verdana"/>
        </w:rPr>
        <w:t xml:space="preserve"> εξαμήνου καταθέτουν 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ντί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γραφα των πιστοποιητικών </w:t>
      </w:r>
      <w:r w:rsidR="000C1D12">
        <w:rPr>
          <w:rFonts w:ascii="Verdana" w:hAnsi="Verdana"/>
        </w:rPr>
        <w:t xml:space="preserve">τους </w:t>
      </w:r>
      <w:r w:rsidR="00830B94" w:rsidRPr="00610969">
        <w:rPr>
          <w:rFonts w:ascii="Verdana" w:hAnsi="Verdana"/>
        </w:rPr>
        <w:t>γλωσσομάθειας</w:t>
      </w:r>
      <w:r w:rsidRPr="00610969">
        <w:rPr>
          <w:rFonts w:ascii="Verdana" w:hAnsi="Verdana"/>
        </w:rPr>
        <w:t xml:space="preserve"> στη </w:t>
      </w:r>
      <w:r w:rsidR="00FC1804">
        <w:rPr>
          <w:rFonts w:ascii="Verdana" w:hAnsi="Verdana"/>
        </w:rPr>
        <w:t>Γ</w:t>
      </w:r>
      <w:r w:rsidRPr="00610969">
        <w:rPr>
          <w:rFonts w:ascii="Verdana" w:hAnsi="Verdana"/>
        </w:rPr>
        <w:t xml:space="preserve">ραμματεία, η οποία καταχωρεί τα στοιχεία σε ένα αρχείο και το κοινοποιεί στους </w:t>
      </w:r>
      <w:r w:rsidRPr="00610969">
        <w:rPr>
          <w:rFonts w:ascii="Verdana" w:hAnsi="Verdana"/>
        </w:rPr>
        <w:t>υ</w:t>
      </w:r>
      <w:r w:rsidRPr="00610969">
        <w:rPr>
          <w:rFonts w:ascii="Verdana" w:hAnsi="Verdana"/>
        </w:rPr>
        <w:t>πεύθυνους διδάσκοντες των ΠΓΑ. Αν στη συνέχεια</w:t>
      </w:r>
      <w:r w:rsidR="000C1D12">
        <w:rPr>
          <w:rFonts w:ascii="Verdana" w:hAnsi="Verdana"/>
        </w:rPr>
        <w:t>,</w:t>
      </w:r>
      <w:r w:rsidRPr="00610969">
        <w:rPr>
          <w:rFonts w:ascii="Verdana" w:hAnsi="Verdana"/>
        </w:rPr>
        <w:t xml:space="preserve"> και μέχρι</w:t>
      </w:r>
      <w:r w:rsidR="00830B94" w:rsidRPr="00610969">
        <w:rPr>
          <w:rFonts w:ascii="Verdana" w:hAnsi="Verdana"/>
        </w:rPr>
        <w:t xml:space="preserve"> το </w:t>
      </w:r>
      <w:r w:rsidR="0012747F" w:rsidRPr="00610969">
        <w:rPr>
          <w:rFonts w:ascii="Verdana" w:hAnsi="Verdana"/>
        </w:rPr>
        <w:t>4ο</w:t>
      </w:r>
      <w:r w:rsidRPr="00610969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ε</w:t>
      </w:r>
      <w:r w:rsidRPr="00610969">
        <w:rPr>
          <w:rFonts w:ascii="Verdana" w:hAnsi="Verdana"/>
        </w:rPr>
        <w:t>ξάμηνο</w:t>
      </w:r>
      <w:r w:rsidR="000C1D12">
        <w:rPr>
          <w:rFonts w:ascii="Verdana" w:hAnsi="Verdana"/>
        </w:rPr>
        <w:t>,</w:t>
      </w:r>
      <w:r w:rsidRPr="00610969">
        <w:rPr>
          <w:rFonts w:ascii="Verdana" w:hAnsi="Verdana"/>
        </w:rPr>
        <w:t xml:space="preserve"> ο φοιτητής αποκτήσει κάποιο πιστοποιητικό, καταθέτει αντί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γραφο του πιστοποιητικού</w:t>
      </w:r>
      <w:r w:rsidR="00994350">
        <w:rPr>
          <w:rFonts w:ascii="Verdana" w:hAnsi="Verdana"/>
        </w:rPr>
        <w:t xml:space="preserve"> αυτού</w:t>
      </w:r>
      <w:r w:rsidRPr="00610969">
        <w:rPr>
          <w:rFonts w:ascii="Verdana" w:hAnsi="Verdana"/>
        </w:rPr>
        <w:t xml:space="preserve"> στη γραμματεία, ώστε να επικαιροποι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είται το αρχείο και ο φοιτητής να απαλλάσσεται από την υποχρέωση παρακολούθησης των αντίστοιχων μαθημάτων. 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Ο φοιτητής έχει την υποχρέωση να παρακολουθήσει μία φορά, δηλ. ένα εξάμηνο, το κάθε ένα από τα μαθήματα Γλώσσας (εξαιρούνται οι περιπτώσεις απαλλαγής, όπως περιγράφονται ανωτέρω </w:t>
      </w:r>
      <w:r w:rsidR="00830B94" w:rsidRPr="00610969">
        <w:rPr>
          <w:rFonts w:ascii="Verdana" w:hAnsi="Verdana"/>
        </w:rPr>
        <w:t xml:space="preserve">στην </w:t>
      </w:r>
      <w:r w:rsidRPr="00610969">
        <w:rPr>
          <w:rFonts w:ascii="Verdana" w:hAnsi="Verdana"/>
        </w:rPr>
        <w:t>παρά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γραφο 7). Κατά τη διάρκεια ενός εξαμήνου</w:t>
      </w:r>
      <w:r w:rsidR="00924867">
        <w:rPr>
          <w:rFonts w:ascii="Verdana" w:hAnsi="Verdana"/>
        </w:rPr>
        <w:t xml:space="preserve"> ο φοιτητής</w:t>
      </w:r>
      <w:r w:rsidRPr="00610969">
        <w:rPr>
          <w:rFonts w:ascii="Verdana" w:hAnsi="Verdana"/>
        </w:rPr>
        <w:t xml:space="preserve"> μπορεί να 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πουσιάσει το πολύ έως και πέντε (5) φορές από το μάθημα (το οποίο είναι εξάωρο). Αν ο φοιτητής υπερβεί τον προβλεπόμενο αριθμό απου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lastRenderedPageBreak/>
        <w:t>σιών, χάνει το δικαίωμα συμμετοχής στις εξετάσεις, συμπεριλαμβανο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μένης και της εξεταστικής περιόδου του Σεπτεμβρίου</w:t>
      </w:r>
      <w:r w:rsidR="00701AC5">
        <w:rPr>
          <w:rFonts w:ascii="Verdana" w:hAnsi="Verdana"/>
        </w:rPr>
        <w:t>,</w:t>
      </w:r>
      <w:r w:rsidRPr="00610969">
        <w:rPr>
          <w:rFonts w:ascii="Verdana" w:hAnsi="Verdana"/>
        </w:rPr>
        <w:t xml:space="preserve"> και υποχρεούται να παρακολουθήσει </w:t>
      </w:r>
      <w:r w:rsidR="00924867">
        <w:rPr>
          <w:rFonts w:ascii="Verdana" w:hAnsi="Verdana"/>
        </w:rPr>
        <w:t xml:space="preserve">εκ νέου </w:t>
      </w:r>
      <w:r w:rsidRPr="00610969">
        <w:rPr>
          <w:rFonts w:ascii="Verdana" w:hAnsi="Verdana"/>
        </w:rPr>
        <w:t>το μάθημα. Αν τυχόν παρά ταύτα προσέλ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θει στην εξέταση, η όποια βαθμολογία δεν καταχωρείται </w:t>
      </w:r>
      <w:r w:rsidR="000C1D12">
        <w:rPr>
          <w:rFonts w:ascii="Verdana" w:hAnsi="Verdana"/>
        </w:rPr>
        <w:t xml:space="preserve">ούτε </w:t>
      </w:r>
      <w:r w:rsidRPr="00610969">
        <w:rPr>
          <w:rFonts w:ascii="Verdana" w:hAnsi="Verdana"/>
        </w:rPr>
        <w:t>«κρατεί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ται» για επόμενη εξεταστική περίοδο.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Για το καθένα από τα μαθήματα θα υπάρχει σχετικό διδακτικό υλικό: τόσο σε βιβλίο από τον ΕΥΔΟΞΟ όσο και σε μορφή τεύχους (Kompendium), το οποίο εκπονείται από τους διδάσκοντες και θα είναι διαθέσιμο σε ηλεκτρονική μορφή στην πλατφόρμα τηλεκπαίδευσης e-class. Εκτός από την παρακολούθηση των μαθημάτων είναι απαραίτητη και η κατ</w:t>
      </w:r>
      <w:r w:rsidR="00830B94" w:rsidRPr="00610969">
        <w:rPr>
          <w:rFonts w:ascii="Verdana" w:hAnsi="Verdana"/>
        </w:rPr>
        <w:t>’</w:t>
      </w:r>
      <w:r w:rsidRPr="00610969">
        <w:rPr>
          <w:rFonts w:ascii="Verdana" w:hAnsi="Verdana"/>
        </w:rPr>
        <w:t xml:space="preserve"> οίκον μελέτη, προκειμένου οι φοιτητές να μπορούν να αντα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ποκριθούν με επιτυχία στις εξετάσεις.</w:t>
      </w:r>
    </w:p>
    <w:p w:rsidR="002B788F" w:rsidRPr="009F35DE" w:rsidRDefault="002B788F" w:rsidP="00542BE3">
      <w:pPr>
        <w:spacing w:before="200"/>
        <w:rPr>
          <w:rFonts w:ascii="Verdana" w:hAnsi="Verdana"/>
          <w:b/>
        </w:rPr>
      </w:pPr>
      <w:r w:rsidRPr="009F35DE">
        <w:rPr>
          <w:rFonts w:ascii="Verdana" w:hAnsi="Verdana"/>
          <w:b/>
        </w:rPr>
        <w:t>Εξετάσεις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Η διάρκεια της γραπτής εξέτασης για το καθένα από τα τέσσερα μαθή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ματα είναι δύο ώρες.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>Η εξέταση του μαθήματος «Γλώσσα IV» προσφέρεται σε κάθε εξετα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στική περίοδο</w:t>
      </w:r>
      <w:r w:rsidR="00701AC5">
        <w:rPr>
          <w:rFonts w:ascii="Verdana" w:hAnsi="Verdana"/>
        </w:rPr>
        <w:t xml:space="preserve">. </w:t>
      </w:r>
      <w:r w:rsidR="00552626">
        <w:rPr>
          <w:rFonts w:ascii="Verdana" w:hAnsi="Verdana"/>
        </w:rPr>
        <w:t xml:space="preserve">Στο μάθημα αυτό </w:t>
      </w:r>
      <w:r w:rsidRPr="00610969">
        <w:rPr>
          <w:rFonts w:ascii="Verdana" w:hAnsi="Verdana"/>
        </w:rPr>
        <w:t>εξετάζεται τόσο ο γραπτός όσο και ο προφορικός λόγος, με βαρύτητα στον τελικό βαθμό: 60% ο βαθμός της γραπτής εξέτασης προς 40% ο βαθμός της προφορικής εξέτασης. Ο φοιτητής θα πρέπει να πάρει τη βάση (πέντε) τόσο στη γραπτή όσο και στην προφορική εξέταση, προκειμένου να κατοχυρώσει το μάθημα. Η συμμετοχή στην προφορική εξέταση προϋποθέτει την επιτυχία στη γραπτή.</w:t>
      </w:r>
    </w:p>
    <w:p w:rsidR="002B788F" w:rsidRPr="009F35DE" w:rsidRDefault="002B788F" w:rsidP="00542BE3">
      <w:pPr>
        <w:spacing w:before="200"/>
        <w:rPr>
          <w:rFonts w:ascii="Verdana" w:hAnsi="Verdana"/>
          <w:b/>
        </w:rPr>
      </w:pPr>
      <w:r w:rsidRPr="009F35DE">
        <w:rPr>
          <w:rFonts w:ascii="Verdana" w:hAnsi="Verdana"/>
          <w:b/>
        </w:rPr>
        <w:t>Καταχώρηση βαθμών και κατοχύρωση μαθήματος</w:t>
      </w:r>
    </w:p>
    <w:p w:rsidR="002B788F" w:rsidRPr="00610969" w:rsidRDefault="002B788F" w:rsidP="0012747F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 Το κάθε ένα από τα τέσσερα μαθήματα Γλώσσας δηλώνεται με τον κω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δικό του από τους φοιτητές σε συγκεκριμένο χρονικό διάστημα, το </w:t>
      </w:r>
      <w:r w:rsidRPr="00610969">
        <w:rPr>
          <w:rFonts w:ascii="Verdana" w:hAnsi="Verdana"/>
        </w:rPr>
        <w:t>ο</w:t>
      </w:r>
      <w:r w:rsidRPr="00610969">
        <w:rPr>
          <w:rFonts w:ascii="Verdana" w:hAnsi="Verdana"/>
        </w:rPr>
        <w:t xml:space="preserve">ποίο γνωστοποιείται από τη γραμματεία και προβλέπεται για τις όλες τις δηλώσεις μαθημάτων. (Αν ο φοιτητής δεν δηλώσει ένα μάθημα, δεν μπορεί να γίνει καταχώρηση βαθμολογίας, ακόμη και αν ο φοιτητής περάσει την εξέταση, </w:t>
      </w:r>
      <w:r w:rsidR="00924867">
        <w:rPr>
          <w:rFonts w:ascii="Verdana" w:hAnsi="Verdana"/>
        </w:rPr>
        <w:t xml:space="preserve">κάτι που ισχύει βέβαια </w:t>
      </w:r>
      <w:r w:rsidRPr="00610969">
        <w:rPr>
          <w:rFonts w:ascii="Verdana" w:hAnsi="Verdana"/>
        </w:rPr>
        <w:t xml:space="preserve">για όλα τα μαθήματα </w:t>
      </w:r>
      <w:r w:rsidR="00701AC5">
        <w:rPr>
          <w:rFonts w:ascii="Verdana" w:hAnsi="Verdana"/>
        </w:rPr>
        <w:t>του προγράμματος</w:t>
      </w:r>
      <w:r w:rsidRPr="00610969">
        <w:rPr>
          <w:rFonts w:ascii="Verdana" w:hAnsi="Verdana"/>
        </w:rPr>
        <w:t>σπουδών). Μετά τη συμμετοχή στην εξέταση και εφό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>σον πληρούνται οι προϋποθέσεις συμμετοχής σε αυτήν (δηλ. δεν έχει γίνει υπέρβαση του προβλεπόμενου αριθμού απουσιών), ο βαθμός κάθε 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θήματος </w:t>
      </w:r>
      <w:r w:rsidR="002E0C8B" w:rsidRPr="00610969">
        <w:rPr>
          <w:rFonts w:ascii="Verdana" w:hAnsi="Verdana"/>
        </w:rPr>
        <w:t xml:space="preserve">καταχωρείται </w:t>
      </w:r>
      <w:r w:rsidRPr="00610969">
        <w:rPr>
          <w:rFonts w:ascii="Verdana" w:hAnsi="Verdana"/>
        </w:rPr>
        <w:t xml:space="preserve">στο </w:t>
      </w:r>
      <w:r w:rsidR="002E0C8B">
        <w:rPr>
          <w:rFonts w:ascii="Verdana" w:hAnsi="Verdana"/>
        </w:rPr>
        <w:t xml:space="preserve">αντίστοιχο </w:t>
      </w:r>
      <w:r w:rsidRPr="00610969">
        <w:rPr>
          <w:rFonts w:ascii="Verdana" w:hAnsi="Verdana"/>
        </w:rPr>
        <w:t xml:space="preserve">ηλεκτρονικό βαθμολόγιο my </w:t>
      </w:r>
      <w:r w:rsidRPr="00610969">
        <w:rPr>
          <w:rFonts w:ascii="Verdana" w:hAnsi="Verdana"/>
        </w:rPr>
        <w:lastRenderedPageBreak/>
        <w:t>studies. Όταν ο φοιτητής περάσει και τα τέσσερα μαθήματα Γλώσσας, εξάγεται ο μέσος όρος των τεσσάρων βαθμών και καταχωρείται στο βαθμολόγιο των ΠΓΑ (κωδικός DAY 01). Ο τελικός αυτός βαθμός έχει συντελεστή βαρύτητας για το πτυχίο τρία (3), πολλαπλασιάζεται δηλ. επί τρία, και αντιστοιχεί σε 10 ευρωπαϊκές πιστωτικές μονάδες (ECTS).</w:t>
      </w:r>
    </w:p>
    <w:p w:rsidR="002B788F" w:rsidRPr="00610969" w:rsidRDefault="002B788F" w:rsidP="009F35DE">
      <w:pPr>
        <w:spacing w:before="200"/>
        <w:rPr>
          <w:rFonts w:ascii="Verdana" w:hAnsi="Verdana"/>
          <w:b/>
        </w:rPr>
      </w:pPr>
      <w:r w:rsidRPr="00610969">
        <w:rPr>
          <w:rFonts w:ascii="Verdana" w:hAnsi="Verdana"/>
          <w:b/>
        </w:rPr>
        <w:t>Ισχύς νέου συστήματος</w:t>
      </w:r>
    </w:p>
    <w:p w:rsidR="00E83E70" w:rsidRPr="00661B3C" w:rsidRDefault="00E83E70" w:rsidP="00E83E70">
      <w:pPr>
        <w:pStyle w:val="ListParagraph"/>
        <w:numPr>
          <w:ilvl w:val="0"/>
          <w:numId w:val="24"/>
        </w:numPr>
        <w:spacing w:before="120" w:after="0" w:line="360" w:lineRule="auto"/>
        <w:ind w:left="426" w:hanging="426"/>
        <w:contextualSpacing w:val="0"/>
        <w:jc w:val="both"/>
        <w:rPr>
          <w:rFonts w:ascii="Verdana" w:hAnsi="Verdana"/>
        </w:rPr>
      </w:pPr>
      <w:r w:rsidRPr="00661B3C">
        <w:rPr>
          <w:rFonts w:ascii="Verdana" w:hAnsi="Verdana"/>
        </w:rPr>
        <w:t>Το σύστημα αυτό τέθηκε σε ισχύ το ακαδημαϊκό έτος 2016/17. Όσοι φοιτητές του 5ου εξαμήνου και άνω δεν έχουν ολοκληρώσει ακόμη το Πρόγραμμα των ΠΓΑ θα παρακολουθήσουν τα μαθήματα ΓΛΩΣΣΑ ΙΙΙ ή ΓΛΩΣΣΑ IV και θα δώσουν εξετάσεις στο μάθημα ΓΛΩΣΣΑ IV.</w:t>
      </w:r>
    </w:p>
    <w:p w:rsidR="000779EB" w:rsidRPr="00610969" w:rsidRDefault="000779EB" w:rsidP="00ED5F62">
      <w:pPr>
        <w:pStyle w:val="Heading2"/>
        <w:rPr>
          <w:sz w:val="22"/>
          <w:szCs w:val="22"/>
          <w:lang w:val="el-GR"/>
        </w:rPr>
      </w:pPr>
      <w:bookmarkStart w:id="8" w:name="_Toc461558034"/>
      <w:r w:rsidRPr="00610969">
        <w:rPr>
          <w:sz w:val="22"/>
          <w:szCs w:val="22"/>
          <w:lang w:val="el-GR"/>
        </w:rPr>
        <w:t>IV. Προπαρασκευαστικό μάθημα</w:t>
      </w:r>
      <w:bookmarkEnd w:id="8"/>
    </w:p>
    <w:p w:rsidR="000779EB" w:rsidRPr="00610969" w:rsidRDefault="000779EB" w:rsidP="0081741E">
      <w:pPr>
        <w:spacing w:before="200"/>
        <w:rPr>
          <w:rFonts w:ascii="Verdana" w:hAnsi="Verdana"/>
        </w:rPr>
      </w:pPr>
      <w:r w:rsidRPr="00610969">
        <w:rPr>
          <w:rFonts w:ascii="Verdana" w:hAnsi="Verdana"/>
        </w:rPr>
        <w:t xml:space="preserve">DAY 02: Εισαγωγή στον επιστημονικό τρόπο εργασίας </w:t>
      </w:r>
    </w:p>
    <w:p w:rsidR="00B77061" w:rsidRPr="002E0C8B" w:rsidRDefault="00E04F2D" w:rsidP="00B77061">
      <w:pPr>
        <w:pStyle w:val="Default"/>
        <w:widowControl/>
        <w:autoSpaceDE/>
        <w:autoSpaceDN/>
        <w:adjustRightInd/>
        <w:spacing w:before="240" w:line="360" w:lineRule="auto"/>
        <w:jc w:val="both"/>
        <w:rPr>
          <w:bCs/>
          <w:color w:val="auto"/>
          <w:sz w:val="22"/>
          <w:szCs w:val="22"/>
        </w:rPr>
      </w:pPr>
      <w:r w:rsidRPr="002E0C8B">
        <w:rPr>
          <w:bCs/>
          <w:color w:val="auto"/>
          <w:sz w:val="22"/>
          <w:szCs w:val="22"/>
        </w:rPr>
        <w:t>Το προπαρασκευαστικό μάθημα «DAY 02: Εισαγωγή στον επιστημονικό τρόπο εργασίας» είναι επίσης προαπαιτούμενο για τη συνέχιση των σπου</w:t>
      </w:r>
      <w:r w:rsidR="00F27730">
        <w:rPr>
          <w:bCs/>
          <w:color w:val="auto"/>
          <w:sz w:val="22"/>
          <w:szCs w:val="22"/>
        </w:rPr>
        <w:softHyphen/>
      </w:r>
      <w:r w:rsidRPr="002E0C8B">
        <w:rPr>
          <w:bCs/>
          <w:color w:val="auto"/>
          <w:sz w:val="22"/>
          <w:szCs w:val="22"/>
        </w:rPr>
        <w:t>δών στο 5ο εξάμηνο. Το μάθημα διδάσκεται στο 3ο εξάμηνο και επαναλαμ</w:t>
      </w:r>
      <w:r w:rsidR="00F27730">
        <w:rPr>
          <w:bCs/>
          <w:color w:val="auto"/>
          <w:sz w:val="22"/>
          <w:szCs w:val="22"/>
        </w:rPr>
        <w:softHyphen/>
      </w:r>
      <w:r w:rsidRPr="002E0C8B">
        <w:rPr>
          <w:bCs/>
          <w:color w:val="auto"/>
          <w:sz w:val="22"/>
          <w:szCs w:val="22"/>
        </w:rPr>
        <w:t>βάνεται στο 4ο εξάμηνο για όσους φοιτητές δεν το έχουν κατοχυρώσει.</w:t>
      </w:r>
    </w:p>
    <w:p w:rsidR="00830B94" w:rsidRDefault="00B53283" w:rsidP="00657421">
      <w:pPr>
        <w:pStyle w:val="Heading2"/>
        <w:spacing w:line="340" w:lineRule="atLeast"/>
        <w:rPr>
          <w:sz w:val="22"/>
          <w:szCs w:val="22"/>
          <w:lang w:val="el-GR"/>
        </w:rPr>
      </w:pPr>
      <w:bookmarkStart w:id="9" w:name="_Toc335689295"/>
      <w:bookmarkStart w:id="10" w:name="_Toc461558035"/>
      <w:r>
        <w:rPr>
          <w:sz w:val="22"/>
          <w:szCs w:val="22"/>
          <w:lang w:val="el-GR"/>
        </w:rPr>
        <w:t>Ε</w:t>
      </w:r>
      <w:r w:rsidRPr="00B53283">
        <w:rPr>
          <w:sz w:val="22"/>
          <w:szCs w:val="22"/>
          <w:lang w:val="el-GR"/>
        </w:rPr>
        <w:t>νδεικτικ</w:t>
      </w:r>
      <w:r>
        <w:rPr>
          <w:sz w:val="22"/>
          <w:szCs w:val="22"/>
          <w:lang w:val="el-GR"/>
        </w:rPr>
        <w:t>ό Πρόγραμμα Σπουδώ</w:t>
      </w:r>
      <w:r w:rsidRPr="00B53283">
        <w:rPr>
          <w:sz w:val="22"/>
          <w:szCs w:val="22"/>
          <w:lang w:val="el-GR"/>
        </w:rPr>
        <w:t xml:space="preserve">ν για τα </w:t>
      </w:r>
      <w:r>
        <w:rPr>
          <w:sz w:val="22"/>
          <w:szCs w:val="22"/>
          <w:lang w:val="el-GR"/>
        </w:rPr>
        <w:t xml:space="preserve">Μαθήματα </w:t>
      </w:r>
      <w:r>
        <w:rPr>
          <w:sz w:val="22"/>
          <w:szCs w:val="22"/>
          <w:lang w:val="el-GR"/>
        </w:rPr>
        <w:br/>
        <w:t>Τύ</w:t>
      </w:r>
      <w:r w:rsidRPr="00B53283">
        <w:rPr>
          <w:sz w:val="22"/>
          <w:szCs w:val="22"/>
          <w:lang w:val="el-GR"/>
        </w:rPr>
        <w:t xml:space="preserve">που </w:t>
      </w:r>
      <w:r>
        <w:rPr>
          <w:sz w:val="22"/>
          <w:szCs w:val="22"/>
          <w:lang w:val="el-GR"/>
        </w:rPr>
        <w:t>Α</w:t>
      </w:r>
      <w:r w:rsidR="00830B94" w:rsidRPr="00B53283">
        <w:rPr>
          <w:sz w:val="22"/>
          <w:szCs w:val="22"/>
          <w:lang w:val="el-GR"/>
        </w:rPr>
        <w:t>(1ο–4ο εξάμηνο)</w:t>
      </w:r>
      <w:bookmarkEnd w:id="9"/>
      <w:r w:rsidR="0012747F" w:rsidRPr="00610969">
        <w:rPr>
          <w:sz w:val="22"/>
          <w:szCs w:val="22"/>
          <w:vertAlign w:val="superscript"/>
        </w:rPr>
        <w:footnoteReference w:id="1"/>
      </w:r>
      <w:bookmarkEnd w:id="10"/>
    </w:p>
    <w:p w:rsidR="00657421" w:rsidRPr="00657421" w:rsidRDefault="00657421" w:rsidP="00657421">
      <w:pPr>
        <w:spacing w:after="120"/>
        <w:jc w:val="center"/>
        <w:rPr>
          <w:sz w:val="28"/>
        </w:rPr>
      </w:pPr>
      <w:r w:rsidRPr="00657421">
        <w:rPr>
          <w:rFonts w:ascii="Verdana" w:hAnsi="Verdana"/>
        </w:rPr>
        <w:t xml:space="preserve">(H διάταξη κατά εξάμηνα είναι </w:t>
      </w:r>
      <w:r w:rsidRPr="00657421">
        <w:rPr>
          <w:rFonts w:ascii="Verdana" w:hAnsi="Verdana"/>
          <w:u w:val="single"/>
        </w:rPr>
        <w:t>ενδεικτική</w:t>
      </w:r>
      <w:r w:rsidRPr="00657421">
        <w:rPr>
          <w:rFonts w:ascii="Verdana" w:hAnsi="Verdana"/>
        </w:rPr>
        <w:t>!)</w:t>
      </w:r>
    </w:p>
    <w:p w:rsidR="00830B94" w:rsidRPr="00F30588" w:rsidRDefault="00830B94" w:rsidP="00ED5F62">
      <w:pPr>
        <w:keepNext/>
        <w:spacing w:after="0" w:line="240" w:lineRule="auto"/>
        <w:jc w:val="center"/>
        <w:rPr>
          <w:rFonts w:ascii="Verdana" w:hAnsi="Verdana" w:cs="Arial"/>
          <w:bCs/>
          <w:sz w:val="8"/>
        </w:rPr>
      </w:pPr>
    </w:p>
    <w:tbl>
      <w:tblPr>
        <w:tblStyle w:val="LightList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91"/>
        <w:gridCol w:w="6405"/>
        <w:gridCol w:w="1326"/>
      </w:tblGrid>
      <w:tr w:rsidR="00830B94" w:rsidRPr="00610969" w:rsidTr="00CD14D9">
        <w:trPr>
          <w:cnfStyle w:val="100000000000"/>
          <w:jc w:val="center"/>
        </w:trPr>
        <w:tc>
          <w:tcPr>
            <w:cnfStyle w:val="000010000000"/>
            <w:tcW w:w="42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830B94" w:rsidRPr="00610969" w:rsidRDefault="00830B94" w:rsidP="00ED5F62">
            <w:pPr>
              <w:keepLines/>
              <w:spacing w:before="120" w:after="120" w:line="240" w:lineRule="auto"/>
              <w:rPr>
                <w:rFonts w:ascii="Verdana" w:hAnsi="Verdana"/>
                <w:color w:val="auto"/>
              </w:rPr>
            </w:pPr>
            <w:r w:rsidRPr="00610969">
              <w:rPr>
                <w:rFonts w:ascii="Verdana" w:hAnsi="Verdana"/>
                <w:color w:val="auto"/>
              </w:rPr>
              <w:t>1</w:t>
            </w:r>
            <w:r w:rsidRPr="00610969">
              <w:rPr>
                <w:rFonts w:ascii="Verdana" w:hAnsi="Verdana" w:cs="Arial"/>
                <w:bCs w:val="0"/>
                <w:iCs/>
                <w:color w:val="auto"/>
              </w:rPr>
              <w:t>o</w:t>
            </w:r>
            <w:r w:rsidRPr="00610969">
              <w:rPr>
                <w:rFonts w:ascii="Verdana" w:hAnsi="Verdana"/>
                <w:color w:val="auto"/>
              </w:rPr>
              <w:t xml:space="preserve"> ΕΞΑΜΗΝΟ</w:t>
            </w:r>
          </w:p>
        </w:tc>
        <w:tc>
          <w:tcPr>
            <w:tcW w:w="778" w:type="pct"/>
            <w:shd w:val="clear" w:color="auto" w:fill="EEECE1" w:themeFill="background2"/>
          </w:tcPr>
          <w:p w:rsidR="00830B94" w:rsidRPr="00610969" w:rsidRDefault="00830B94" w:rsidP="00E83E70">
            <w:pPr>
              <w:keepLines/>
              <w:spacing w:before="120" w:after="120" w:line="240" w:lineRule="auto"/>
              <w:jc w:val="center"/>
              <w:cnfStyle w:val="100000000000"/>
              <w:rPr>
                <w:rFonts w:ascii="Verdana" w:hAnsi="Verdana"/>
                <w:color w:val="auto"/>
              </w:rPr>
            </w:pPr>
            <w:r w:rsidRPr="00610969">
              <w:rPr>
                <w:rFonts w:ascii="Verdana" w:hAnsi="Verdana"/>
                <w:color w:val="auto"/>
              </w:rPr>
              <w:t>ECTS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Γλώσσα Ι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Style w:val="FootnoteReference"/>
                <w:rFonts w:ascii="Verdana" w:hAnsi="Verdana"/>
              </w:rPr>
            </w:pPr>
            <w:r w:rsidRPr="00610969">
              <w:rPr>
                <w:rFonts w:ascii="Verdana" w:hAnsi="Verdana"/>
              </w:rPr>
              <w:t>-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Εισαγωγή στη Γλωσσολογία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Μορφολογία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Εισαγωγή στην Επιστήμη της Λογοτεχνίας Ι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 xml:space="preserve">Σύγχρονη Λογοτεχνία 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Εισαγωγή στη Θεωρία και Πρακτική της Μετά</w:t>
            </w:r>
            <w:r w:rsidR="00F27730">
              <w:rPr>
                <w:rFonts w:ascii="Verdana" w:hAnsi="Verdana"/>
              </w:rPr>
              <w:softHyphen/>
            </w:r>
            <w:r w:rsidRPr="00610969">
              <w:rPr>
                <w:rFonts w:ascii="Verdana" w:hAnsi="Verdana"/>
              </w:rPr>
              <w:t>φρασης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19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Μάθημα από άλλο Τμήμα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</w:tbl>
    <w:p w:rsidR="002738CE" w:rsidRDefault="002738CE"/>
    <w:tbl>
      <w:tblPr>
        <w:tblStyle w:val="LightList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91"/>
        <w:gridCol w:w="6405"/>
        <w:gridCol w:w="1326"/>
      </w:tblGrid>
      <w:tr w:rsidR="002738CE" w:rsidRPr="002738CE" w:rsidTr="00CD14D9">
        <w:trPr>
          <w:cnfStyle w:val="100000000000"/>
          <w:jc w:val="center"/>
        </w:trPr>
        <w:tc>
          <w:tcPr>
            <w:cnfStyle w:val="000010000000"/>
            <w:tcW w:w="4222" w:type="pct"/>
            <w:gridSpan w:val="2"/>
            <w:shd w:val="clear" w:color="auto" w:fill="EEECE1" w:themeFill="background2"/>
          </w:tcPr>
          <w:p w:rsidR="00830B94" w:rsidRPr="002738CE" w:rsidRDefault="00830B94" w:rsidP="00ED5F62">
            <w:pPr>
              <w:keepLines/>
              <w:spacing w:before="120" w:after="120" w:line="240" w:lineRule="auto"/>
              <w:rPr>
                <w:rFonts w:ascii="Verdana" w:hAnsi="Verdana"/>
                <w:bCs w:val="0"/>
                <w:color w:val="auto"/>
              </w:rPr>
            </w:pPr>
            <w:r w:rsidRPr="002738CE">
              <w:rPr>
                <w:rFonts w:ascii="Verdana" w:hAnsi="Verdana"/>
                <w:bCs w:val="0"/>
                <w:color w:val="auto"/>
              </w:rPr>
              <w:lastRenderedPageBreak/>
              <w:t>2o ΕΞΑΜΗΝΟ</w:t>
            </w:r>
          </w:p>
        </w:tc>
        <w:tc>
          <w:tcPr>
            <w:tcW w:w="778" w:type="pct"/>
            <w:shd w:val="clear" w:color="auto" w:fill="EEECE1" w:themeFill="background2"/>
          </w:tcPr>
          <w:p w:rsidR="00830B94" w:rsidRPr="002738CE" w:rsidRDefault="00830B94" w:rsidP="00ED5F62">
            <w:pPr>
              <w:keepLines/>
              <w:spacing w:before="120" w:after="120" w:line="240" w:lineRule="auto"/>
              <w:jc w:val="center"/>
              <w:cnfStyle w:val="100000000000"/>
              <w:rPr>
                <w:rFonts w:ascii="Verdana" w:hAnsi="Verdana"/>
                <w:bCs w:val="0"/>
                <w:color w:val="auto"/>
              </w:rPr>
            </w:pPr>
            <w:r w:rsidRPr="002738CE">
              <w:rPr>
                <w:rFonts w:ascii="Verdana" w:hAnsi="Verdana"/>
                <w:bCs w:val="0"/>
                <w:color w:val="auto"/>
              </w:rPr>
              <w:t>ECTS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Γλώσσα ΙΙ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-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Σύνταξη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Φωνητική / Φωνολογία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Εισαγωγή στη Διδακτική της Γερμανικής ως Ξένης Γλώσσας I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Εισαγωγή στην Επιστήμη της Λογοτεχνίας ΙΙ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Λογοτεχνία του 20ού αιώνα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0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Μάθημα από άλλο Τμήμα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222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830B94" w:rsidRPr="00610969" w:rsidRDefault="00830B94" w:rsidP="00ED5F62">
            <w:pPr>
              <w:keepLines/>
              <w:spacing w:before="120" w:after="120" w:line="240" w:lineRule="auto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3</w:t>
            </w:r>
            <w:r w:rsidRPr="00610969">
              <w:rPr>
                <w:rFonts w:ascii="Verdana" w:hAnsi="Verdana" w:cs="Arial"/>
                <w:b/>
                <w:bCs/>
                <w:iCs/>
              </w:rPr>
              <w:t>o</w:t>
            </w:r>
            <w:r w:rsidRPr="00610969">
              <w:rPr>
                <w:rFonts w:ascii="Verdana" w:hAnsi="Verdana"/>
                <w:b/>
              </w:rPr>
              <w:t xml:space="preserve"> ΕΞΑΜΗΝΟ</w:t>
            </w:r>
          </w:p>
        </w:tc>
        <w:tc>
          <w:tcPr>
            <w:tcW w:w="778" w:type="pct"/>
            <w:shd w:val="clear" w:color="auto" w:fill="EEECE1" w:themeFill="background2"/>
          </w:tcPr>
          <w:p w:rsidR="00830B94" w:rsidRPr="00610969" w:rsidRDefault="00830B94" w:rsidP="00ED5F62">
            <w:pPr>
              <w:keepLines/>
              <w:pageBreakBefore/>
              <w:spacing w:before="120" w:after="120" w:line="240" w:lineRule="auto"/>
              <w:jc w:val="center"/>
              <w:cnfStyle w:val="000000000000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ECTS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Γλώσσα ΙΙΙ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-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Προπαρασκευαστικό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Λεξικολογία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Συγκριτική Γλωσσολογία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Λογοτεχνία του 18</w:t>
            </w:r>
            <w:r w:rsidRPr="00610969">
              <w:rPr>
                <w:rFonts w:ascii="Verdana" w:hAnsi="Verdana" w:cs="Arial"/>
                <w:bCs/>
                <w:iCs/>
              </w:rPr>
              <w:t>ου</w:t>
            </w:r>
            <w:r w:rsidRPr="00610969">
              <w:rPr>
                <w:rFonts w:ascii="Verdana" w:hAnsi="Verdana"/>
              </w:rPr>
              <w:t xml:space="preserve"> αιώνα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Συγκριτική Φιλολογία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 xml:space="preserve">Γερμανικός Πολιτισμός 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pStyle w:val="ListParagraph"/>
              <w:keepLines/>
              <w:numPr>
                <w:ilvl w:val="0"/>
                <w:numId w:val="21"/>
              </w:numPr>
              <w:spacing w:before="60" w:after="60" w:line="240" w:lineRule="auto"/>
              <w:ind w:left="0" w:firstLine="17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3758" w:type="pct"/>
          </w:tcPr>
          <w:p w:rsidR="00830B94" w:rsidRPr="00610969" w:rsidRDefault="00830B94" w:rsidP="00ED5F62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Μάθημα από άλλο Τμήμα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</w:tcPr>
          <w:p w:rsidR="00830B94" w:rsidRPr="00610969" w:rsidRDefault="00830B94" w:rsidP="00ED5F62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22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830B94" w:rsidRPr="00610969" w:rsidRDefault="00830B94" w:rsidP="00ED5F62">
            <w:pPr>
              <w:keepLines/>
              <w:spacing w:before="120" w:after="120" w:line="240" w:lineRule="auto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4</w:t>
            </w:r>
            <w:r w:rsidRPr="00610969">
              <w:rPr>
                <w:rFonts w:ascii="Verdana" w:hAnsi="Verdana" w:cs="Arial"/>
                <w:b/>
                <w:bCs/>
                <w:iCs/>
              </w:rPr>
              <w:t>o</w:t>
            </w:r>
            <w:r w:rsidRPr="00610969">
              <w:rPr>
                <w:rFonts w:ascii="Verdana" w:hAnsi="Verdana"/>
                <w:b/>
              </w:rPr>
              <w:t xml:space="preserve"> ΕΞΑΜΗΝΟ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830B94" w:rsidRPr="00610969" w:rsidRDefault="00830B94" w:rsidP="00ED5F62">
            <w:pPr>
              <w:keepLines/>
              <w:spacing w:before="120" w:after="120" w:line="240" w:lineRule="auto"/>
              <w:jc w:val="center"/>
              <w:cnfStyle w:val="000000100000"/>
              <w:rPr>
                <w:rFonts w:ascii="Verdana" w:hAnsi="Verdana" w:cs="Arial"/>
                <w:b/>
              </w:rPr>
            </w:pPr>
            <w:r w:rsidRPr="00610969">
              <w:rPr>
                <w:rFonts w:ascii="Verdana" w:hAnsi="Verdana"/>
                <w:b/>
              </w:rPr>
              <w:t>ECTS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Γλώσσα IV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EA1417" w:rsidRDefault="00E83E70" w:rsidP="00CD14D9">
            <w:pPr>
              <w:keepLines/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EA1417">
              <w:rPr>
                <w:rFonts w:ascii="Verdana" w:hAnsi="Verdana"/>
              </w:rPr>
              <w:t>10</w:t>
            </w:r>
            <w:r w:rsidRPr="00EA1417">
              <w:rPr>
                <w:rStyle w:val="FootnoteReference"/>
                <w:rFonts w:ascii="Verdana" w:hAnsi="Verdana"/>
              </w:rPr>
              <w:footnoteReference w:id="2"/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Σημασιολογία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 w:cs="Arial"/>
              </w:rPr>
            </w:pPr>
            <w:r w:rsidRPr="00610969">
              <w:rPr>
                <w:rFonts w:ascii="Verdana" w:hAnsi="Verdana"/>
              </w:rPr>
              <w:t>Πραγματολογία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Εισαγωγή στη Διδακτική της Γερμανικής ως Ξένης Γλώσσας II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Λογοτεχνία του 19</w:t>
            </w:r>
            <w:r w:rsidRPr="00610969">
              <w:rPr>
                <w:rFonts w:ascii="Verdana" w:hAnsi="Verdana" w:cs="Arial"/>
                <w:bCs/>
                <w:iCs/>
              </w:rPr>
              <w:t>ου</w:t>
            </w:r>
            <w:r w:rsidRPr="00610969">
              <w:rPr>
                <w:rFonts w:ascii="Verdana" w:hAnsi="Verdana"/>
              </w:rPr>
              <w:t xml:space="preserve"> αιώνα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cnfStyle w:val="000000100000"/>
          <w:jc w:val="center"/>
        </w:trPr>
        <w:tc>
          <w:tcPr>
            <w:cnfStyle w:val="000010000000"/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1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Θεωρία της Λογοτεχνίας</w:t>
            </w:r>
          </w:p>
        </w:tc>
        <w:tc>
          <w:tcPr>
            <w:cnfStyle w:val="00001000000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  <w:tr w:rsidR="00830B94" w:rsidRPr="00610969" w:rsidTr="00CD14D9">
        <w:trPr>
          <w:jc w:val="center"/>
        </w:trPr>
        <w:tc>
          <w:tcPr>
            <w:cnfStyle w:val="000010000000"/>
            <w:tcW w:w="46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pStyle w:val="ListParagraph"/>
              <w:keepLines/>
              <w:numPr>
                <w:ilvl w:val="0"/>
                <w:numId w:val="22"/>
              </w:numPr>
              <w:spacing w:before="60" w:after="60" w:line="240" w:lineRule="auto"/>
              <w:ind w:left="0" w:firstLine="170"/>
              <w:contextualSpacing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758" w:type="pct"/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cnfStyle w:val="000000000000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Μάθημα από άλλο Τμήμα</w:t>
            </w:r>
          </w:p>
        </w:tc>
        <w:tc>
          <w:tcPr>
            <w:cnfStyle w:val="000010000000"/>
            <w:tcW w:w="77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B94" w:rsidRPr="00610969" w:rsidRDefault="00830B94" w:rsidP="00CD14D9">
            <w:pPr>
              <w:keepLines/>
              <w:spacing w:before="60" w:after="60" w:line="240" w:lineRule="auto"/>
              <w:jc w:val="center"/>
              <w:rPr>
                <w:rFonts w:ascii="Verdana" w:hAnsi="Verdana" w:cs="Arial"/>
              </w:rPr>
            </w:pPr>
            <w:r w:rsidRPr="00610969">
              <w:rPr>
                <w:rFonts w:ascii="Verdana" w:hAnsi="Verdana" w:cs="Arial"/>
              </w:rPr>
              <w:t>4</w:t>
            </w:r>
          </w:p>
        </w:tc>
      </w:tr>
    </w:tbl>
    <w:p w:rsidR="00830B94" w:rsidRPr="00610969" w:rsidRDefault="00830B94">
      <w:pPr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:rsidR="000779EB" w:rsidRPr="00610969" w:rsidRDefault="00C065FC" w:rsidP="0057598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1" w:name="_Toc461558036"/>
      <w:r w:rsidRPr="00610969">
        <w:rPr>
          <w:rFonts w:ascii="Verdana" w:hAnsi="Verdana"/>
          <w:color w:val="auto"/>
          <w:sz w:val="22"/>
          <w:szCs w:val="22"/>
        </w:rPr>
        <w:t>ΜΑΘΗΜΑΤΑ ΤΥΠΟΥ Β (5ο-</w:t>
      </w:r>
      <w:r w:rsidR="000779EB" w:rsidRPr="00610969">
        <w:rPr>
          <w:rFonts w:ascii="Verdana" w:hAnsi="Verdana"/>
          <w:color w:val="auto"/>
          <w:sz w:val="22"/>
          <w:szCs w:val="22"/>
        </w:rPr>
        <w:t>8ο ΕΞΑΜΗΝΟ)</w:t>
      </w:r>
      <w:bookmarkEnd w:id="11"/>
    </w:p>
    <w:p w:rsidR="000779EB" w:rsidRPr="00610969" w:rsidRDefault="000779EB" w:rsidP="0081741E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Τα Μαθήματα Τύπου Β, που απευθύνονται στους φοιτητές των εξαμήνων 5-8, εμβαθύνουν στα επιμέρους επιστημονικά αντικείμενα και συχνά έχουν σεμιναριακό χαρακτήρα. Χωρίζονται σε Μαθήματα Υποχρεωτικής Επιλογής και σε Μαθήματα Ελεύθερης Επιλογής. </w:t>
      </w:r>
    </w:p>
    <w:p w:rsidR="000779EB" w:rsidRPr="00610969" w:rsidRDefault="000779EB" w:rsidP="00071991">
      <w:pPr>
        <w:pStyle w:val="Heading2"/>
        <w:rPr>
          <w:sz w:val="22"/>
          <w:szCs w:val="22"/>
          <w:lang w:val="el-GR"/>
        </w:rPr>
      </w:pPr>
      <w:bookmarkStart w:id="12" w:name="_Toc461558037"/>
      <w:r w:rsidRPr="00610969">
        <w:rPr>
          <w:sz w:val="22"/>
          <w:szCs w:val="22"/>
          <w:lang w:val="el-GR"/>
        </w:rPr>
        <w:lastRenderedPageBreak/>
        <w:t>Μαθήματα Υποχρεωτικής Επιλογής</w:t>
      </w:r>
      <w:bookmarkEnd w:id="12"/>
    </w:p>
    <w:p w:rsidR="000779EB" w:rsidRPr="00610969" w:rsidRDefault="000779EB" w:rsidP="0081741E">
      <w:pPr>
        <w:spacing w:after="0" w:line="360" w:lineRule="auto"/>
        <w:jc w:val="center"/>
        <w:rPr>
          <w:rFonts w:ascii="Verdana" w:hAnsi="Verdana"/>
        </w:rPr>
      </w:pPr>
      <w:r w:rsidRPr="00610969">
        <w:rPr>
          <w:rFonts w:ascii="Verdana" w:hAnsi="Verdana"/>
        </w:rPr>
        <w:t>(12 υποχρεωτικά μαθήματα)</w:t>
      </w:r>
    </w:p>
    <w:p w:rsidR="000779EB" w:rsidRPr="00610969" w:rsidRDefault="000779EB" w:rsidP="005F2DC1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Τα μαθήματα των δύο κλάδων, Γλωσσολογίας και Λογοτεχνίας, χωρίζονται σε Ενότητες. Από το σύνολο των μαθημάτων που προσφέρονται στις Ενό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τητες αυτές, οι φοιτητές οφείλουν να επιλέξουν έξι (6) μαθήματα από τον </w:t>
      </w:r>
      <w:r w:rsidRPr="00552626">
        <w:rPr>
          <w:rFonts w:ascii="Verdana" w:hAnsi="Verdana"/>
        </w:rPr>
        <w:t>κ</w:t>
      </w:r>
      <w:r w:rsidRPr="00610969">
        <w:rPr>
          <w:rFonts w:ascii="Verdana" w:hAnsi="Verdana"/>
        </w:rPr>
        <w:t xml:space="preserve">λάδο Γλωσσολογίας και έξι (6) μαθήματα </w:t>
      </w:r>
      <w:r w:rsidR="000C1D12">
        <w:rPr>
          <w:rFonts w:ascii="Verdana" w:hAnsi="Verdana"/>
        </w:rPr>
        <w:t xml:space="preserve">από τον </w:t>
      </w:r>
      <w:r w:rsidR="000C1D12" w:rsidRPr="00552626">
        <w:rPr>
          <w:rFonts w:ascii="Verdana" w:hAnsi="Verdana"/>
        </w:rPr>
        <w:t>κ</w:t>
      </w:r>
      <w:r w:rsidR="000C1D12">
        <w:rPr>
          <w:rFonts w:ascii="Verdana" w:hAnsi="Verdana"/>
        </w:rPr>
        <w:t xml:space="preserve">λάδο </w:t>
      </w:r>
      <w:r w:rsidRPr="00610969">
        <w:rPr>
          <w:rFonts w:ascii="Verdana" w:hAnsi="Verdana"/>
        </w:rPr>
        <w:t>Λογοτεχνίας</w:t>
      </w:r>
      <w:r w:rsidR="00830B94" w:rsidRPr="00610969">
        <w:rPr>
          <w:rFonts w:ascii="Verdana" w:hAnsi="Verdana"/>
        </w:rPr>
        <w:t>,</w:t>
      </w:r>
      <w:r w:rsidRPr="00610969">
        <w:rPr>
          <w:rFonts w:ascii="Verdana" w:hAnsi="Verdana"/>
        </w:rPr>
        <w:t xml:space="preserve"> και μάλιστα ως εξής: </w:t>
      </w:r>
    </w:p>
    <w:p w:rsidR="000779EB" w:rsidRPr="00610969" w:rsidRDefault="000779EB" w:rsidP="00870A2B">
      <w:pPr>
        <w:spacing w:after="120"/>
        <w:rPr>
          <w:rFonts w:ascii="Verdana" w:hAnsi="Verdana"/>
        </w:rPr>
      </w:pPr>
      <w:r w:rsidRPr="00610969">
        <w:rPr>
          <w:rFonts w:ascii="Verdana" w:hAnsi="Verdana"/>
        </w:rPr>
        <w:t xml:space="preserve">Ι. Κλάδος Γλωσσολογίας (3 Ενότητες: Α, Β και Γ): </w:t>
      </w:r>
    </w:p>
    <w:p w:rsidR="000779EB" w:rsidRPr="00610969" w:rsidRDefault="000779EB" w:rsidP="00845F3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από την Ενότητα Α: </w:t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δύο μαθήματα, </w:t>
      </w:r>
    </w:p>
    <w:p w:rsidR="000779EB" w:rsidRPr="00610969" w:rsidRDefault="000779EB" w:rsidP="00845F3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από την Ενότητα Β: </w:t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δύο μαθήματα </w:t>
      </w:r>
    </w:p>
    <w:p w:rsidR="000779EB" w:rsidRPr="00610969" w:rsidRDefault="000779EB" w:rsidP="00845F3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από την Ενότητα Γ: </w:t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δύο μαθήματα </w:t>
      </w:r>
    </w:p>
    <w:p w:rsidR="000779EB" w:rsidRPr="00610969" w:rsidRDefault="000779EB" w:rsidP="00010584">
      <w:pPr>
        <w:spacing w:before="240" w:after="120"/>
        <w:rPr>
          <w:rFonts w:ascii="Verdana" w:hAnsi="Verdana"/>
        </w:rPr>
      </w:pPr>
      <w:r w:rsidRPr="00610969">
        <w:rPr>
          <w:rFonts w:ascii="Verdana" w:hAnsi="Verdana"/>
        </w:rPr>
        <w:t xml:space="preserve">ΙΙ. Κλάδος Λογοτεχνίας (4 Ενότητες: Α, Β, Γ και Δ): </w:t>
      </w:r>
    </w:p>
    <w:p w:rsidR="000779EB" w:rsidRPr="00610969" w:rsidRDefault="00010584" w:rsidP="00010584">
      <w:pPr>
        <w:numPr>
          <w:ilvl w:val="0"/>
          <w:numId w:val="3"/>
        </w:numPr>
        <w:tabs>
          <w:tab w:val="left" w:pos="3119"/>
        </w:tabs>
        <w:spacing w:after="0"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από την Ενότητα Α:</w:t>
      </w:r>
      <w:r w:rsidRPr="00010584">
        <w:rPr>
          <w:rFonts w:ascii="Verdana" w:hAnsi="Verdana"/>
        </w:rPr>
        <w:tab/>
      </w:r>
      <w:r w:rsidRPr="00010584">
        <w:rPr>
          <w:rFonts w:ascii="Verdana" w:hAnsi="Verdana"/>
        </w:rPr>
        <w:tab/>
      </w:r>
      <w:r w:rsidR="000779EB" w:rsidRPr="00610969">
        <w:rPr>
          <w:rFonts w:ascii="Verdana" w:hAnsi="Verdana"/>
        </w:rPr>
        <w:t xml:space="preserve">δύο μαθήματα </w:t>
      </w:r>
    </w:p>
    <w:p w:rsidR="000779EB" w:rsidRPr="00610969" w:rsidRDefault="000779EB" w:rsidP="00010584">
      <w:pPr>
        <w:numPr>
          <w:ilvl w:val="0"/>
          <w:numId w:val="3"/>
        </w:numPr>
        <w:tabs>
          <w:tab w:val="left" w:pos="3119"/>
        </w:tabs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από την Ενότητα Β:</w:t>
      </w:r>
      <w:r w:rsidR="00010584" w:rsidRPr="00010584">
        <w:rPr>
          <w:rFonts w:ascii="Verdana" w:hAnsi="Verdana"/>
        </w:rPr>
        <w:tab/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δύο μαθήματα </w:t>
      </w:r>
    </w:p>
    <w:p w:rsidR="000779EB" w:rsidRPr="00610969" w:rsidRDefault="000779EB" w:rsidP="00845F3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από την Ενότητα Γ:</w:t>
      </w:r>
      <w:r w:rsidR="00010584" w:rsidRPr="00657421">
        <w:rPr>
          <w:rFonts w:ascii="Verdana" w:hAnsi="Verdana"/>
        </w:rPr>
        <w:tab/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ένα μάθημα </w:t>
      </w:r>
    </w:p>
    <w:p w:rsidR="000779EB" w:rsidRPr="00610969" w:rsidRDefault="000779EB" w:rsidP="00845F3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από την Ενότητα Δ:</w:t>
      </w:r>
      <w:r w:rsidR="00010584" w:rsidRPr="00010584">
        <w:rPr>
          <w:rFonts w:ascii="Verdana" w:hAnsi="Verdana"/>
        </w:rPr>
        <w:tab/>
      </w:r>
      <w:r w:rsidRPr="00610969">
        <w:rPr>
          <w:rFonts w:ascii="Verdana" w:hAnsi="Verdana"/>
        </w:rPr>
        <w:t xml:space="preserve">ένα μάθημα </w:t>
      </w:r>
    </w:p>
    <w:p w:rsidR="000779EB" w:rsidRPr="00610969" w:rsidRDefault="000779EB" w:rsidP="00870A2B">
      <w:pPr>
        <w:pStyle w:val="Heading3"/>
        <w:spacing w:before="360"/>
        <w:rPr>
          <w:rFonts w:ascii="Verdana" w:hAnsi="Verdana"/>
          <w:color w:val="auto"/>
        </w:rPr>
      </w:pPr>
      <w:bookmarkStart w:id="13" w:name="_Toc461558038"/>
      <w:r w:rsidRPr="00610969">
        <w:rPr>
          <w:rFonts w:ascii="Verdana" w:hAnsi="Verdana"/>
          <w:color w:val="auto"/>
        </w:rPr>
        <w:t>Ι. Κλάδος Γλωσσολογία</w:t>
      </w:r>
      <w:r w:rsidR="000C1D12">
        <w:rPr>
          <w:rFonts w:ascii="Verdana" w:hAnsi="Verdana"/>
          <w:color w:val="auto"/>
        </w:rPr>
        <w:t>ς</w:t>
      </w:r>
      <w:bookmarkEnd w:id="13"/>
    </w:p>
    <w:p w:rsidR="000779EB" w:rsidRPr="00610969" w:rsidRDefault="00DF77C6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>Ενότητα Α:</w:t>
      </w:r>
    </w:p>
    <w:p w:rsidR="000779EB" w:rsidRPr="00610969" w:rsidRDefault="000779EB" w:rsidP="00DF77C6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>(υποχρεωτική επιλογή: 2 μαθήματα)</w:t>
      </w:r>
    </w:p>
    <w:p w:rsidR="000779EB" w:rsidRPr="00610969" w:rsidRDefault="000779EB" w:rsidP="006A7FDC">
      <w:pPr>
        <w:numPr>
          <w:ilvl w:val="0"/>
          <w:numId w:val="4"/>
        </w:numPr>
        <w:spacing w:before="120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30: Φωνητική / Φωνολογία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31: Μορφολογία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32: Θεωρία Σύνταξης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33: Ζητήματα Γερμανικής Σύνταξης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34: Λεξικολογία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36: Συγκριτική Γλωσσολογία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38: Φρασεολογία</w:t>
      </w:r>
    </w:p>
    <w:p w:rsidR="000779EB" w:rsidRPr="00610969" w:rsidRDefault="00680EF5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>
        <w:rPr>
          <w:rFonts w:ascii="Verdana" w:hAnsi="Verdana"/>
        </w:rPr>
        <w:t xml:space="preserve">DGB </w:t>
      </w:r>
      <w:r>
        <w:rPr>
          <w:rFonts w:ascii="Verdana" w:hAnsi="Verdana"/>
          <w:lang w:val="en-US"/>
        </w:rPr>
        <w:t>3</w:t>
      </w:r>
      <w:r w:rsidR="000779EB" w:rsidRPr="00610969">
        <w:rPr>
          <w:rFonts w:ascii="Verdana" w:hAnsi="Verdana"/>
        </w:rPr>
        <w:t>8: Σηµασιολογία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DGB 40: Διάδραση Γλωσσικών Επιπέδων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DGB 41: Θεωρίες Γλωσσικής Κατάκτησης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lastRenderedPageBreak/>
        <w:t>DGB 45: Γλωσσικές Ποικιλίες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DGC 46: Γλωσσολογικές Θεωρίες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DGC 47: Φιλοσοφία της Γλώσσας</w:t>
      </w:r>
    </w:p>
    <w:p w:rsidR="000779EB" w:rsidRPr="00610969" w:rsidRDefault="000779EB" w:rsidP="006A7FDC">
      <w:pPr>
        <w:numPr>
          <w:ilvl w:val="0"/>
          <w:numId w:val="4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DGC 50: Γλωσσική Μεταβολή / Ιστορία της Γλώσσας</w:t>
      </w:r>
    </w:p>
    <w:p w:rsidR="000779EB" w:rsidRPr="00610969" w:rsidRDefault="00DF77C6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>Ενότητα Β:</w:t>
      </w:r>
    </w:p>
    <w:p w:rsidR="000779EB" w:rsidRPr="00610969" w:rsidRDefault="000779EB" w:rsidP="00DF77C6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>(υποχρεωτική επιλογή: 2 μαθήματα)</w:t>
      </w:r>
    </w:p>
    <w:p w:rsidR="000779EB" w:rsidRPr="00610969" w:rsidRDefault="000779EB" w:rsidP="00845F34">
      <w:pPr>
        <w:numPr>
          <w:ilvl w:val="0"/>
          <w:numId w:val="5"/>
        </w:numPr>
        <w:spacing w:before="120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DGA 35: Κειµενογλωσσολογία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DGA 37: Ανάλυση Προφορικού Λόγου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39: Πραγµατολογία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42: Κατάκτηση Δεύτερης / Ξένης Γλώσσας, Διγλωσσία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43: Κοινωνιογλωσσολογία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44: Εμπειρική Γλωσσολογική Έρευνα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46: Γλωσσολογία της Γραφής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DGB 47: Εκμάθηση Δεύτερης / Ξένης Γλώσσας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DGC 48: Θεωρία και Πρακτική της Μετάφρασης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DGC 49: Υπολογιστική Γλωσσολογία</w:t>
      </w:r>
    </w:p>
    <w:p w:rsidR="000779EB" w:rsidRPr="00610969" w:rsidRDefault="000779EB" w:rsidP="00845F34">
      <w:pPr>
        <w:numPr>
          <w:ilvl w:val="0"/>
          <w:numId w:val="5"/>
        </w:numPr>
        <w:rPr>
          <w:rFonts w:ascii="Verdana" w:hAnsi="Verdana"/>
        </w:rPr>
      </w:pPr>
      <w:r w:rsidRPr="00610969">
        <w:rPr>
          <w:rFonts w:ascii="Verdana" w:hAnsi="Verdana"/>
        </w:rPr>
        <w:t>DGC 51: Θεωρία της Ανάγνωσης</w:t>
      </w:r>
    </w:p>
    <w:p w:rsidR="000779EB" w:rsidRPr="00610969" w:rsidRDefault="000779EB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>Ενότητ</w:t>
      </w:r>
      <w:r w:rsidR="00552BC5" w:rsidRPr="00610969">
        <w:rPr>
          <w:rFonts w:ascii="Verdana" w:hAnsi="Verdana"/>
          <w:u w:val="single"/>
        </w:rPr>
        <w:t>α Γ:</w:t>
      </w:r>
    </w:p>
    <w:p w:rsidR="000779EB" w:rsidRPr="00610969" w:rsidRDefault="000779EB" w:rsidP="00111260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 xml:space="preserve">(υποχρεωτική επιλογή: 2 μαθήματα) </w:t>
      </w:r>
    </w:p>
    <w:p w:rsidR="000779EB" w:rsidRPr="00610969" w:rsidRDefault="000779EB" w:rsidP="00845F34">
      <w:pPr>
        <w:numPr>
          <w:ilvl w:val="0"/>
          <w:numId w:val="6"/>
        </w:numPr>
        <w:spacing w:before="120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DGD 50: Θεωρίες Μάθησης και Μέθοδοι Διδασκαλίας της Γερμανικής ως Ξένης Γλώσσας </w:t>
      </w:r>
    </w:p>
    <w:p w:rsidR="000779EB" w:rsidRPr="00610969" w:rsidRDefault="000779EB" w:rsidP="00845F34">
      <w:pPr>
        <w:numPr>
          <w:ilvl w:val="0"/>
          <w:numId w:val="6"/>
        </w:numPr>
        <w:rPr>
          <w:rFonts w:ascii="Verdana" w:hAnsi="Verdana"/>
        </w:rPr>
      </w:pPr>
      <w:r w:rsidRPr="00610969">
        <w:rPr>
          <w:rFonts w:ascii="Verdana" w:hAnsi="Verdana"/>
        </w:rPr>
        <w:t xml:space="preserve">DGD 51: Ανάλυση και Σχεδιασμός Διδακτικού Υλικού </w:t>
      </w:r>
    </w:p>
    <w:p w:rsidR="000779EB" w:rsidRPr="00610969" w:rsidRDefault="000779EB" w:rsidP="00845F34">
      <w:pPr>
        <w:numPr>
          <w:ilvl w:val="0"/>
          <w:numId w:val="6"/>
        </w:numPr>
        <w:rPr>
          <w:rFonts w:ascii="Verdana" w:hAnsi="Verdana"/>
        </w:rPr>
      </w:pPr>
      <w:r w:rsidRPr="00610969">
        <w:rPr>
          <w:rFonts w:ascii="Verdana" w:hAnsi="Verdana"/>
        </w:rPr>
        <w:t>DGD 52: Σχεδιασμός και Οργάνωση Μαθημάτων</w:t>
      </w:r>
    </w:p>
    <w:p w:rsidR="000779EB" w:rsidRPr="00610969" w:rsidRDefault="000779EB" w:rsidP="00845F34">
      <w:pPr>
        <w:numPr>
          <w:ilvl w:val="0"/>
          <w:numId w:val="6"/>
        </w:numPr>
        <w:rPr>
          <w:rFonts w:ascii="Verdana" w:hAnsi="Verdana"/>
        </w:rPr>
      </w:pPr>
      <w:r w:rsidRPr="00610969">
        <w:rPr>
          <w:rFonts w:ascii="Verdana" w:hAnsi="Verdana"/>
        </w:rPr>
        <w:t xml:space="preserve">DGD 53: Αξιολόγηση Γλωσσικής Κατάρτισης και Διδασκαλίας </w:t>
      </w:r>
    </w:p>
    <w:p w:rsidR="000779EB" w:rsidRPr="00610969" w:rsidRDefault="000779EB" w:rsidP="00845F34">
      <w:pPr>
        <w:numPr>
          <w:ilvl w:val="0"/>
          <w:numId w:val="6"/>
        </w:numPr>
        <w:rPr>
          <w:rFonts w:ascii="Verdana" w:hAnsi="Verdana"/>
        </w:rPr>
      </w:pPr>
      <w:r w:rsidRPr="00610969">
        <w:rPr>
          <w:rFonts w:ascii="Verdana" w:hAnsi="Verdana"/>
        </w:rPr>
        <w:t xml:space="preserve">DGD 54: Νέες Τεχνολογίες στην Εκμάθηση της Ξένης Γλώσσας </w:t>
      </w:r>
    </w:p>
    <w:p w:rsidR="000779EB" w:rsidRPr="00610969" w:rsidRDefault="000779EB" w:rsidP="00845F34">
      <w:pPr>
        <w:numPr>
          <w:ilvl w:val="0"/>
          <w:numId w:val="6"/>
        </w:numPr>
        <w:rPr>
          <w:rFonts w:ascii="Verdana" w:hAnsi="Verdana"/>
        </w:rPr>
      </w:pPr>
      <w:r w:rsidRPr="00610969">
        <w:rPr>
          <w:rFonts w:ascii="Verdana" w:hAnsi="Verdana"/>
        </w:rPr>
        <w:t xml:space="preserve">DGD 55: Η Γερμανική ως Δεύτερη Ξένη Γλώσσα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>DGD 56: Η Διδασκαλία της Γερμανικής στην Πρωτοβάθμια Εκπαί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δευση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57: Ανάπτυξη Γραπτών Δραστηριοτήτων στη διδασκαλία της Γερμανικής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lastRenderedPageBreak/>
        <w:t xml:space="preserve">DGD 58: Ανάπτυξη Προφορικών Δραστηριοτήτων στη διδασκαλία της Γερμανικής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>DGD 59: Ανάπτυξη Δραστηριοτήτων Διαμεσολάβησης στη διδασκα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λία της Γερμανικής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>DGD 60: Ανάπτυξη Γραμματικής Ικανότητας στη διδασκαλία της Γερ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μανικής ως Ξένης </w:t>
      </w:r>
      <w:r w:rsidR="00924867" w:rsidRPr="00610969">
        <w:rPr>
          <w:rFonts w:ascii="Verdana" w:hAnsi="Verdana"/>
        </w:rPr>
        <w:t>Γλώσσας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>DGD 61: Ανάπτυξη Λεξιλογικής Ικανότητας στη διδασκαλία της Γερ</w:t>
      </w:r>
      <w:r w:rsidR="00F27730">
        <w:rPr>
          <w:rFonts w:ascii="Verdana" w:hAnsi="Verdana"/>
        </w:rPr>
        <w:softHyphen/>
      </w:r>
      <w:r w:rsidRPr="00610969">
        <w:rPr>
          <w:rFonts w:ascii="Verdana" w:hAnsi="Verdana"/>
        </w:rPr>
        <w:t xml:space="preserve">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62: Ανάπτυξη Φωνολογικής Ικανότητας στη διδασκαλία της Γερμανικής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63: Ανάπτυξη Πραγματολογικής Ικανότητας στη διδασκαλία της Γερμανικής ως Ξένης Γλώσσας </w:t>
      </w:r>
    </w:p>
    <w:p w:rsidR="000779EB" w:rsidRPr="00610969" w:rsidRDefault="000779EB" w:rsidP="00CD14D9">
      <w:pPr>
        <w:numPr>
          <w:ilvl w:val="0"/>
          <w:numId w:val="6"/>
        </w:numPr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64: Ανάπτυξη Κοινωνιογλωσσολογικής Ικανότητας στη διδ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σκαλία της Γερμανικής ως Ξένης Γλώσσας </w:t>
      </w:r>
    </w:p>
    <w:p w:rsidR="000779EB" w:rsidRPr="00610969" w:rsidRDefault="000779EB" w:rsidP="00870A2B">
      <w:pPr>
        <w:pStyle w:val="Heading3"/>
        <w:spacing w:before="480"/>
        <w:rPr>
          <w:rFonts w:ascii="Verdana" w:hAnsi="Verdana"/>
          <w:color w:val="auto"/>
        </w:rPr>
      </w:pPr>
      <w:bookmarkStart w:id="14" w:name="_Toc461558039"/>
      <w:r w:rsidRPr="00610969">
        <w:rPr>
          <w:rFonts w:ascii="Verdana" w:hAnsi="Verdana"/>
          <w:color w:val="auto"/>
        </w:rPr>
        <w:t>ΙΙ. Κλάδος Λογοτεχνία</w:t>
      </w:r>
      <w:r w:rsidR="00E10565">
        <w:rPr>
          <w:rFonts w:ascii="Verdana" w:hAnsi="Verdana"/>
          <w:color w:val="auto"/>
        </w:rPr>
        <w:t>ς</w:t>
      </w:r>
      <w:bookmarkEnd w:id="14"/>
    </w:p>
    <w:p w:rsidR="000779EB" w:rsidRPr="00610969" w:rsidRDefault="000779EB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 xml:space="preserve">Ενότητα Α: </w:t>
      </w:r>
    </w:p>
    <w:p w:rsidR="000779EB" w:rsidRPr="00610969" w:rsidRDefault="000779EB" w:rsidP="00552BC5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>(υποχρεωτική επιλογή: 2 μαθήματα)</w:t>
      </w:r>
    </w:p>
    <w:p w:rsidR="000779EB" w:rsidRPr="00610969" w:rsidRDefault="000779EB" w:rsidP="006A7FDC">
      <w:pPr>
        <w:numPr>
          <w:ilvl w:val="0"/>
          <w:numId w:val="7"/>
        </w:numPr>
        <w:spacing w:before="120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60: Διαφωτισμός / Θύελλα και Ορμή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61: Κλασικισμός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63: Ρομαντισμός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62:</w:t>
      </w:r>
      <w:r w:rsidR="00010584">
        <w:rPr>
          <w:rFonts w:ascii="Verdana" w:hAnsi="Verdana"/>
        </w:rPr>
        <w:t xml:space="preserve"> Hölderlin / Kleist / Jean Paul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69: Vormärz / Biedermeier / Ρεαλισμός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64: Νατουραλισμός / Fin de siècle / Εξπρεσιονισμός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65: 1900 – 1945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66: Brecht / Kafka / Thomas Mann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67: Λογοτεχνία μετά το 1945</w:t>
      </w:r>
    </w:p>
    <w:p w:rsidR="000779EB" w:rsidRPr="00610969" w:rsidRDefault="000779EB" w:rsidP="006A7FDC">
      <w:pPr>
        <w:numPr>
          <w:ilvl w:val="0"/>
          <w:numId w:val="7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DLA 68: Σύγχρονη Γερμανόφωνη Λογοτεχνία</w:t>
      </w:r>
    </w:p>
    <w:p w:rsidR="000779EB" w:rsidRPr="00610969" w:rsidRDefault="000779EB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 xml:space="preserve">Ενότητα Β: </w:t>
      </w:r>
    </w:p>
    <w:p w:rsidR="000779EB" w:rsidRPr="00610969" w:rsidRDefault="000779EB" w:rsidP="00552BC5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 xml:space="preserve">(υποχρεωτική επιλογή: 2 μαθήματα) </w:t>
      </w:r>
    </w:p>
    <w:p w:rsidR="000779EB" w:rsidRPr="00610969" w:rsidRDefault="000779EB" w:rsidP="00CD14D9">
      <w:pPr>
        <w:numPr>
          <w:ilvl w:val="0"/>
          <w:numId w:val="8"/>
        </w:numPr>
        <w:spacing w:before="120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DLB 68: Θεωρία της Λογοτεχνίας: Αρχές Ανάλυσης και Σύγχρονα Ρεύματα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lastRenderedPageBreak/>
        <w:t xml:space="preserve">DLB 69: Θεωρία Λογοτεχνικών Ειδών Ι: Πεζογραφία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70: Θεωρία Λογοτεχνικών Ειδών ΙΙ: Ποίηση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76: Θεωρία Λογοτεχνικών Ειδών ΙΙΙ: Δράμα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71: Λογοτεχνία και Μέσα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72: Λογοτεχνία και Φύλο </w:t>
      </w:r>
    </w:p>
    <w:p w:rsidR="000779EB" w:rsidRPr="00610969" w:rsidRDefault="000779EB" w:rsidP="00CD14D9">
      <w:pPr>
        <w:numPr>
          <w:ilvl w:val="0"/>
          <w:numId w:val="8"/>
        </w:numPr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DLB 73: Συγκριτική Γραμματολογία, Παγκόσμια / Ευρωπαϊκή Λογ</w:t>
      </w:r>
      <w:r w:rsidRPr="00610969">
        <w:rPr>
          <w:rFonts w:ascii="Verdana" w:hAnsi="Verdana"/>
        </w:rPr>
        <w:t>ο</w:t>
      </w:r>
      <w:r w:rsidRPr="00610969">
        <w:rPr>
          <w:rFonts w:ascii="Verdana" w:hAnsi="Verdana"/>
        </w:rPr>
        <w:t xml:space="preserve">τεχνία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74: Ελληνική Αρχαιότητα στη Γερμανική Λογοτεχνία 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DLB 75: Γερμανική Λογοτεχνία και Νεότερη Ελλάδα</w:t>
      </w:r>
    </w:p>
    <w:p w:rsidR="000779EB" w:rsidRPr="00610969" w:rsidRDefault="000779EB" w:rsidP="006A7FDC">
      <w:pPr>
        <w:numPr>
          <w:ilvl w:val="0"/>
          <w:numId w:val="8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DLB 77: Λογοτεχνία και Ανθρωπολογία </w:t>
      </w:r>
    </w:p>
    <w:p w:rsidR="000779EB" w:rsidRPr="00610969" w:rsidRDefault="000779EB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 xml:space="preserve">Ενότητα Γ: </w:t>
      </w:r>
    </w:p>
    <w:p w:rsidR="000779EB" w:rsidRPr="00610969" w:rsidRDefault="000779EB" w:rsidP="00552BC5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 xml:space="preserve">(υποχρεωτική επιλογή: 1 μάθημα) </w:t>
      </w:r>
    </w:p>
    <w:p w:rsidR="000779EB" w:rsidRPr="00610969" w:rsidRDefault="000779EB" w:rsidP="00CD14D9">
      <w:pPr>
        <w:numPr>
          <w:ilvl w:val="0"/>
          <w:numId w:val="9"/>
        </w:numPr>
        <w:spacing w:before="120"/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DLC 76: Μετάφραση Λογοτεχνικών Κειμένων και Δοκιμίων με έμφ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ση στην Ιστορική Εποχή </w:t>
      </w:r>
    </w:p>
    <w:p w:rsidR="000779EB" w:rsidRPr="00610969" w:rsidRDefault="000779EB" w:rsidP="00CD14D9">
      <w:pPr>
        <w:numPr>
          <w:ilvl w:val="0"/>
          <w:numId w:val="9"/>
        </w:numPr>
        <w:ind w:left="714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DLC 77: Μετάφραση Λογοτεχνικών Κειμένων και Δοκιμίων με έμφ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ση στο Λογοτεχνικό Είδος </w:t>
      </w:r>
    </w:p>
    <w:p w:rsidR="000779EB" w:rsidRPr="00610969" w:rsidRDefault="000779EB" w:rsidP="006A7FDC">
      <w:pPr>
        <w:numPr>
          <w:ilvl w:val="0"/>
          <w:numId w:val="9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DLC 78: Κριτική Λογοτεχνικής Μετάφρασης </w:t>
      </w:r>
    </w:p>
    <w:p w:rsidR="000779EB" w:rsidRPr="00610969" w:rsidRDefault="000779EB" w:rsidP="006A7FDC">
      <w:pPr>
        <w:numPr>
          <w:ilvl w:val="0"/>
          <w:numId w:val="9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DLC 80: Διδακτική Λογοτεχνικών Κειμένων Ι </w:t>
      </w:r>
    </w:p>
    <w:p w:rsidR="000779EB" w:rsidRPr="00610969" w:rsidRDefault="000779EB" w:rsidP="006A7FDC">
      <w:pPr>
        <w:numPr>
          <w:ilvl w:val="0"/>
          <w:numId w:val="9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DLC 79: Διδακτική Λογοτεχνικών Κειμένων ΙΙ </w:t>
      </w:r>
    </w:p>
    <w:p w:rsidR="000779EB" w:rsidRPr="00610969" w:rsidRDefault="000779EB" w:rsidP="00870A2B">
      <w:pPr>
        <w:spacing w:before="240" w:after="120"/>
        <w:rPr>
          <w:rFonts w:ascii="Verdana" w:hAnsi="Verdana"/>
          <w:u w:val="single"/>
        </w:rPr>
      </w:pPr>
      <w:r w:rsidRPr="00610969">
        <w:rPr>
          <w:rFonts w:ascii="Verdana" w:hAnsi="Verdana"/>
          <w:u w:val="single"/>
        </w:rPr>
        <w:t xml:space="preserve">Ενότητα Δ: </w:t>
      </w:r>
    </w:p>
    <w:p w:rsidR="000779EB" w:rsidRPr="00610969" w:rsidRDefault="000779EB" w:rsidP="00552BC5">
      <w:pPr>
        <w:spacing w:after="0" w:line="360" w:lineRule="auto"/>
        <w:rPr>
          <w:rFonts w:ascii="Verdana" w:hAnsi="Verdana"/>
        </w:rPr>
      </w:pPr>
      <w:r w:rsidRPr="00610969">
        <w:rPr>
          <w:rFonts w:ascii="Verdana" w:hAnsi="Verdana"/>
        </w:rPr>
        <w:t xml:space="preserve">(υποχρεωτική επιλογή: 1 μάθημα) </w:t>
      </w:r>
    </w:p>
    <w:p w:rsidR="000779EB" w:rsidRPr="00610969" w:rsidRDefault="000779EB" w:rsidP="006A7FDC">
      <w:pPr>
        <w:numPr>
          <w:ilvl w:val="0"/>
          <w:numId w:val="10"/>
        </w:numPr>
        <w:spacing w:before="120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DLD 80: Αισθητική / Τέχνη </w:t>
      </w:r>
    </w:p>
    <w:p w:rsidR="000779EB" w:rsidRPr="00610969" w:rsidRDefault="000779EB" w:rsidP="006A7FDC">
      <w:pPr>
        <w:numPr>
          <w:ilvl w:val="0"/>
          <w:numId w:val="10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DLD 81: Διαπολιτισμικά Ζητήματα</w:t>
      </w:r>
    </w:p>
    <w:p w:rsidR="000779EB" w:rsidRPr="00610969" w:rsidRDefault="000779EB" w:rsidP="006A7FDC">
      <w:pPr>
        <w:numPr>
          <w:ilvl w:val="0"/>
          <w:numId w:val="10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DLD 82: Γερμανική Ιστορία </w:t>
      </w:r>
    </w:p>
    <w:p w:rsidR="000779EB" w:rsidRPr="00610969" w:rsidRDefault="000779EB" w:rsidP="006A7FDC">
      <w:pPr>
        <w:numPr>
          <w:ilvl w:val="0"/>
          <w:numId w:val="10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DLD 83: Γερμανική Φιλοσοφία </w:t>
      </w:r>
    </w:p>
    <w:p w:rsidR="000779EB" w:rsidRPr="00610969" w:rsidRDefault="000779EB" w:rsidP="006A7FDC">
      <w:pPr>
        <w:numPr>
          <w:ilvl w:val="0"/>
          <w:numId w:val="10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DLD 84: Σύγχρονος Γερμανικός Πολιτισμός </w:t>
      </w:r>
    </w:p>
    <w:p w:rsidR="00454A16" w:rsidRPr="00610969" w:rsidRDefault="000779EB" w:rsidP="006A7FDC">
      <w:pPr>
        <w:numPr>
          <w:ilvl w:val="0"/>
          <w:numId w:val="10"/>
        </w:numPr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DLD 85: Ιστορία των Ιδεών</w:t>
      </w:r>
    </w:p>
    <w:p w:rsidR="000779EB" w:rsidRPr="00610969" w:rsidRDefault="000779EB" w:rsidP="00870A2B">
      <w:pPr>
        <w:pStyle w:val="Heading2"/>
        <w:pageBreakBefore/>
        <w:rPr>
          <w:sz w:val="22"/>
          <w:szCs w:val="22"/>
          <w:lang w:val="el-GR"/>
        </w:rPr>
      </w:pPr>
      <w:bookmarkStart w:id="15" w:name="_Toc461558040"/>
      <w:r w:rsidRPr="00610969">
        <w:rPr>
          <w:sz w:val="22"/>
          <w:szCs w:val="22"/>
          <w:lang w:val="el-GR"/>
        </w:rPr>
        <w:lastRenderedPageBreak/>
        <w:t>Μαθήματα Ελεύθερης Επιλογής</w:t>
      </w:r>
      <w:bookmarkEnd w:id="15"/>
    </w:p>
    <w:p w:rsidR="000779EB" w:rsidRPr="00610969" w:rsidRDefault="000779EB" w:rsidP="00552BC5">
      <w:pPr>
        <w:pStyle w:val="Default"/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610969">
        <w:rPr>
          <w:bCs/>
          <w:sz w:val="22"/>
          <w:szCs w:val="22"/>
        </w:rPr>
        <w:t xml:space="preserve">(ελεύθερη επιλογή: 5 μαθήματα) </w:t>
      </w:r>
    </w:p>
    <w:p w:rsidR="000779EB" w:rsidRPr="00610969" w:rsidRDefault="000779EB" w:rsidP="00552BC5">
      <w:pPr>
        <w:spacing w:before="24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Οι φοιτητές οφείλουν να επιλέξουν πέντε (5) μαθήματα επιπλέον, από </w:t>
      </w:r>
      <w:r w:rsidRPr="00610969">
        <w:rPr>
          <w:rFonts w:ascii="Verdana" w:hAnsi="Verdana"/>
        </w:rPr>
        <w:t>ό</w:t>
      </w:r>
      <w:r w:rsidRPr="00610969">
        <w:rPr>
          <w:rFonts w:ascii="Verdana" w:hAnsi="Verdana"/>
        </w:rPr>
        <w:t xml:space="preserve">ποιον </w:t>
      </w:r>
      <w:r w:rsidR="00924867">
        <w:rPr>
          <w:rFonts w:ascii="Verdana" w:hAnsi="Verdana"/>
        </w:rPr>
        <w:t>Κ</w:t>
      </w:r>
      <w:r w:rsidRPr="00610969">
        <w:rPr>
          <w:rFonts w:ascii="Verdana" w:hAnsi="Verdana"/>
        </w:rPr>
        <w:t xml:space="preserve">λάδο και από όποια Ενότητα επιθυμούν. </w:t>
      </w:r>
    </w:p>
    <w:p w:rsidR="000779EB" w:rsidRPr="00950489" w:rsidRDefault="004F52BF" w:rsidP="00610969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6" w:name="_Toc461558041"/>
      <w:r w:rsidRPr="00950489">
        <w:rPr>
          <w:rFonts w:ascii="Verdana" w:hAnsi="Verdana"/>
          <w:color w:val="auto"/>
          <w:sz w:val="22"/>
          <w:szCs w:val="22"/>
        </w:rPr>
        <w:t>ΜΑΘΗΜΑΤΑ ΑΠΟ ΑΛΛΑ ΤΜΗΜΑΤΑ</w:t>
      </w:r>
      <w:bookmarkEnd w:id="16"/>
    </w:p>
    <w:p w:rsidR="000779EB" w:rsidRPr="00950489" w:rsidRDefault="004F52BF" w:rsidP="00552BC5">
      <w:pPr>
        <w:pStyle w:val="Default"/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950489">
        <w:rPr>
          <w:bCs/>
          <w:sz w:val="22"/>
          <w:szCs w:val="22"/>
        </w:rPr>
        <w:t xml:space="preserve">(4 μαθήματα επιλογής) </w:t>
      </w:r>
    </w:p>
    <w:p w:rsidR="000779EB" w:rsidRPr="00950489" w:rsidRDefault="004F52BF" w:rsidP="00C91C37">
      <w:pPr>
        <w:spacing w:before="120" w:after="120" w:line="360" w:lineRule="auto"/>
        <w:jc w:val="both"/>
        <w:rPr>
          <w:rFonts w:ascii="Verdana" w:hAnsi="Verdana"/>
        </w:rPr>
      </w:pPr>
      <w:r w:rsidRPr="00950489">
        <w:rPr>
          <w:rFonts w:ascii="Verdana" w:hAnsi="Verdana"/>
        </w:rPr>
        <w:t xml:space="preserve">Οι φοιτητές οφείλουν να παρακολουθήσουν τέσσερα (4) μαθήματα με γνωστικό αντικείμενο από άλλα Τμήματα της Φιλοσοφικής </w:t>
      </w:r>
      <w:r w:rsidRPr="00010584">
        <w:rPr>
          <w:rFonts w:ascii="Verdana" w:hAnsi="Verdana"/>
        </w:rPr>
        <w:t>Σχολής.</w:t>
      </w:r>
      <w:r w:rsidR="00776FA9" w:rsidRPr="00010584">
        <w:rPr>
          <w:rFonts w:ascii="Verdana" w:hAnsi="Verdana"/>
        </w:rPr>
        <w:t xml:space="preserve"> </w:t>
      </w:r>
      <w:r w:rsidRPr="00950489">
        <w:rPr>
          <w:rFonts w:ascii="Verdana" w:hAnsi="Verdana"/>
        </w:rPr>
        <w:t>Προτε</w:t>
      </w:r>
      <w:r w:rsidRPr="00950489">
        <w:rPr>
          <w:rFonts w:ascii="Verdana" w:hAnsi="Verdana"/>
        </w:rPr>
        <w:t>ί</w:t>
      </w:r>
      <w:r w:rsidRPr="00950489">
        <w:rPr>
          <w:rFonts w:ascii="Verdana" w:hAnsi="Verdana"/>
        </w:rPr>
        <w:t>νεται, οι φοιτητές να παρακολουθήσουν περισσότερα μαθήματα του ίδιου γνωστικού αντικειμένου, έτσι ώστε να αποκτήσουν πληρέστερη επιστημ</w:t>
      </w:r>
      <w:r w:rsidRPr="00950489">
        <w:rPr>
          <w:rFonts w:ascii="Verdana" w:hAnsi="Verdana"/>
        </w:rPr>
        <w:t>ο</w:t>
      </w:r>
      <w:r w:rsidRPr="00950489">
        <w:rPr>
          <w:rFonts w:ascii="Verdana" w:hAnsi="Verdana"/>
        </w:rPr>
        <w:t xml:space="preserve">νική κατάρτιση στο αντικείμενο αυτό. </w:t>
      </w:r>
      <w:r w:rsidR="00A0001E" w:rsidRPr="00010584">
        <w:rPr>
          <w:rFonts w:ascii="Verdana" w:hAnsi="Verdana"/>
        </w:rPr>
        <w:t>Όσοι</w:t>
      </w:r>
      <w:r w:rsidR="00A0001E" w:rsidRPr="00776FA9">
        <w:rPr>
          <w:rFonts w:ascii="Verdana" w:hAnsi="Verdana"/>
        </w:rPr>
        <w:t xml:space="preserve"> φοιτητές θέλουν να αποκτ</w:t>
      </w:r>
      <w:r w:rsidR="00A0001E" w:rsidRPr="00776FA9">
        <w:rPr>
          <w:rFonts w:ascii="Verdana" w:hAnsi="Verdana"/>
        </w:rPr>
        <w:t>ή</w:t>
      </w:r>
      <w:r w:rsidR="00A0001E" w:rsidRPr="00776FA9">
        <w:rPr>
          <w:rFonts w:ascii="Verdana" w:hAnsi="Verdana"/>
        </w:rPr>
        <w:t>σουν πιστοποίηση παιδαγωγικής/διδακτικής επάρκειας οφείλουν να επιλ</w:t>
      </w:r>
      <w:r w:rsidR="00A0001E" w:rsidRPr="00776FA9">
        <w:rPr>
          <w:rFonts w:ascii="Verdana" w:hAnsi="Verdana"/>
        </w:rPr>
        <w:t>έ</w:t>
      </w:r>
      <w:r w:rsidR="00A0001E" w:rsidRPr="00776FA9">
        <w:rPr>
          <w:rFonts w:ascii="Verdana" w:hAnsi="Verdana"/>
        </w:rPr>
        <w:t>ξουν μαθήματα από άλλα Τμήματα με τον τρόπο που αναλύεται παρακάτω στην ενότητα «Πιστοποίηση Παιδαγωγικής/Διδακτικής Επάρκειας»</w:t>
      </w:r>
      <w:r w:rsidR="00A0001E" w:rsidRPr="00010584">
        <w:rPr>
          <w:rFonts w:ascii="Verdana" w:hAnsi="Verdana"/>
        </w:rPr>
        <w:t>.</w:t>
      </w:r>
    </w:p>
    <w:p w:rsidR="000779EB" w:rsidRPr="00610969" w:rsidRDefault="004F52BF" w:rsidP="006A7FDC">
      <w:pPr>
        <w:spacing w:after="240" w:line="360" w:lineRule="auto"/>
        <w:jc w:val="both"/>
        <w:rPr>
          <w:rFonts w:ascii="Verdana" w:hAnsi="Verdana"/>
        </w:rPr>
      </w:pPr>
      <w:r w:rsidRPr="00950489">
        <w:rPr>
          <w:rFonts w:ascii="Verdana" w:hAnsi="Verdana"/>
        </w:rPr>
        <w:t>Τα προσφερόμενα μαθήματα ανακοινώνονται κάθε εξάμηνο από τη Γρα</w:t>
      </w:r>
      <w:r w:rsidRPr="00950489">
        <w:rPr>
          <w:rFonts w:ascii="Verdana" w:hAnsi="Verdana"/>
        </w:rPr>
        <w:t>μ</w:t>
      </w:r>
      <w:r w:rsidRPr="00950489">
        <w:rPr>
          <w:rFonts w:ascii="Verdana" w:hAnsi="Verdana"/>
        </w:rPr>
        <w:t>ματεία του Τμήματος. Σημειώνεται ότι στα μαθήματα επιλογής από άλλα Τμήματα δεν περιλαμβάνονται οι Πρακτικές Γλωσσικές Ασκήσεις των Τμ</w:t>
      </w:r>
      <w:r w:rsidRPr="00950489">
        <w:rPr>
          <w:rFonts w:ascii="Verdana" w:hAnsi="Verdana"/>
        </w:rPr>
        <w:t>η</w:t>
      </w:r>
      <w:r w:rsidRPr="00950489">
        <w:rPr>
          <w:rFonts w:ascii="Verdana" w:hAnsi="Verdana"/>
        </w:rPr>
        <w:t>μάτων αυτών.</w:t>
      </w:r>
    </w:p>
    <w:p w:rsidR="000779EB" w:rsidRPr="00610969" w:rsidRDefault="000779EB" w:rsidP="0057598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7" w:name="_Toc461558042"/>
      <w:r w:rsidRPr="00610969">
        <w:rPr>
          <w:rFonts w:ascii="Verdana" w:hAnsi="Verdana"/>
          <w:color w:val="auto"/>
          <w:sz w:val="22"/>
          <w:szCs w:val="22"/>
        </w:rPr>
        <w:t>ΠΤΥΧΙΑΚΗ ΕΡΓΑΣΙΑ</w:t>
      </w:r>
      <w:bookmarkEnd w:id="17"/>
    </w:p>
    <w:p w:rsidR="000779EB" w:rsidRPr="00610969" w:rsidRDefault="000779EB" w:rsidP="00C91C37">
      <w:pPr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Για την απόκτηση πτυχίου κάθε φοιτητής οφείλει να συγγράψει πτυχιακή εργασία, η οποία στο κύριο μέρος της πρέπει να αφορά θέματα είτε της Γλωσσολογίας είτε της Λογοτεχνίας και να πληροί συγκεκριμένες επιστημ</w:t>
      </w:r>
      <w:r w:rsidRPr="00610969">
        <w:rPr>
          <w:rFonts w:ascii="Verdana" w:hAnsi="Verdana"/>
        </w:rPr>
        <w:t>ο</w:t>
      </w:r>
      <w:r w:rsidRPr="00610969">
        <w:rPr>
          <w:rFonts w:ascii="Verdana" w:hAnsi="Verdana"/>
        </w:rPr>
        <w:t>νικές απαιτήσεις</w:t>
      </w:r>
      <w:r w:rsidR="00004545">
        <w:rPr>
          <w:rFonts w:ascii="Verdana" w:hAnsi="Verdana"/>
        </w:rPr>
        <w:t>. Συγκεκριμένα απαιτείται</w:t>
      </w:r>
      <w:r w:rsidRPr="00610969">
        <w:rPr>
          <w:rFonts w:ascii="Verdana" w:hAnsi="Verdana"/>
        </w:rPr>
        <w:t xml:space="preserve">: </w:t>
      </w:r>
    </w:p>
    <w:p w:rsidR="000779EB" w:rsidRPr="00610969" w:rsidRDefault="000779EB" w:rsidP="00845F34">
      <w:pPr>
        <w:numPr>
          <w:ilvl w:val="0"/>
          <w:numId w:val="11"/>
        </w:numPr>
        <w:spacing w:after="0" w:line="360" w:lineRule="auto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σαφής οριοθέτηση του υπό πραγμάτευση θέματος, </w:t>
      </w:r>
    </w:p>
    <w:p w:rsidR="000779EB" w:rsidRPr="00610969" w:rsidRDefault="000779EB" w:rsidP="00845F34">
      <w:pPr>
        <w:numPr>
          <w:ilvl w:val="0"/>
          <w:numId w:val="11"/>
        </w:numPr>
        <w:spacing w:after="0" w:line="360" w:lineRule="auto"/>
        <w:ind w:left="714" w:hanging="357"/>
        <w:rPr>
          <w:rFonts w:ascii="Verdana" w:hAnsi="Verdana"/>
        </w:rPr>
      </w:pPr>
      <w:r w:rsidRPr="00015FC9">
        <w:rPr>
          <w:rFonts w:ascii="Verdana" w:hAnsi="Verdana"/>
        </w:rPr>
        <w:t>εκτενής παράθεση, παρουσίαση, σχολιασμός και τεκμηρίωση σχετ</w:t>
      </w:r>
      <w:r w:rsidRPr="00015FC9">
        <w:rPr>
          <w:rFonts w:ascii="Verdana" w:hAnsi="Verdana"/>
        </w:rPr>
        <w:t>ι</w:t>
      </w:r>
      <w:r w:rsidRPr="00015FC9">
        <w:rPr>
          <w:rFonts w:ascii="Verdana" w:hAnsi="Verdana"/>
        </w:rPr>
        <w:t>κών με το θέμα απόψεων και θέσεων, όπως αυτές προκύπτουν από τη βιβλιογραφία</w:t>
      </w:r>
      <w:r w:rsidRPr="00610969">
        <w:rPr>
          <w:rFonts w:ascii="Verdana" w:hAnsi="Verdana"/>
        </w:rPr>
        <w:t xml:space="preserve">, </w:t>
      </w:r>
    </w:p>
    <w:p w:rsidR="000779EB" w:rsidRPr="00610969" w:rsidRDefault="000779EB" w:rsidP="00845F34">
      <w:pPr>
        <w:numPr>
          <w:ilvl w:val="0"/>
          <w:numId w:val="11"/>
        </w:numPr>
        <w:spacing w:after="0" w:line="360" w:lineRule="auto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>διατύπωση συμπερασμάτων</w:t>
      </w:r>
      <w:r w:rsidR="00003C9D">
        <w:rPr>
          <w:rFonts w:ascii="Verdana" w:hAnsi="Verdana"/>
        </w:rPr>
        <w:t xml:space="preserve"> και</w:t>
      </w:r>
    </w:p>
    <w:p w:rsidR="000779EB" w:rsidRPr="00610969" w:rsidRDefault="000779EB" w:rsidP="00845F34">
      <w:pPr>
        <w:numPr>
          <w:ilvl w:val="0"/>
          <w:numId w:val="11"/>
        </w:numPr>
        <w:spacing w:after="0" w:line="360" w:lineRule="auto"/>
        <w:ind w:left="714" w:hanging="357"/>
        <w:rPr>
          <w:rFonts w:ascii="Verdana" w:hAnsi="Verdana"/>
        </w:rPr>
      </w:pPr>
      <w:r w:rsidRPr="00610969">
        <w:rPr>
          <w:rFonts w:ascii="Verdana" w:hAnsi="Verdana"/>
        </w:rPr>
        <w:t xml:space="preserve">ευχέρεια στη χρήση γερμανικού επιστημονικού γραπτού λόγου. </w:t>
      </w:r>
    </w:p>
    <w:p w:rsidR="000779EB" w:rsidRPr="00ED5F62" w:rsidRDefault="000779EB" w:rsidP="00C91C37">
      <w:pPr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Για τον καθορισμό του θέματος οι φοιτητές έρχονται σε συνεννόηση με τον διδάσκοντα τις πρώτες δεκαπέντε (15) ημέρες μετά την έναρξη των μαθ</w:t>
      </w:r>
      <w:r w:rsidRPr="00610969">
        <w:rPr>
          <w:rFonts w:ascii="Verdana" w:hAnsi="Verdana"/>
        </w:rPr>
        <w:t>η</w:t>
      </w:r>
      <w:r w:rsidRPr="00610969">
        <w:rPr>
          <w:rFonts w:ascii="Verdana" w:hAnsi="Verdana"/>
        </w:rPr>
        <w:lastRenderedPageBreak/>
        <w:t>μάτων κάθε εξαμήνου. Προϋπόθεση για τη δήλωση αυτή είναι ο φοιτητής να έχει επιτύχει στις εξετάσεις των Πρακτικών Γλωσσικών Ασκήσεων και του Προπαρασκευαστικού. Η συγγραφή της πτυχιακής εργασίας γίνεται κ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τά τη διάρκεια του 8ου εξαμήνου. Η τελική παράδοση της εργασίας γίνεται το αργότερο μέχρι το τέλος της εξεταστικής περιόδου. Η πτυχιακή εργασία μπορεί να συνοδεύεται από προφορική εξέταση κατά την κρίση του διδ</w:t>
      </w:r>
      <w:r w:rsidRPr="00610969">
        <w:rPr>
          <w:rFonts w:ascii="Verdana" w:hAnsi="Verdana"/>
        </w:rPr>
        <w:t>ά</w:t>
      </w:r>
      <w:r w:rsidRPr="00610969">
        <w:rPr>
          <w:rFonts w:ascii="Verdana" w:hAnsi="Verdana"/>
        </w:rPr>
        <w:t xml:space="preserve">σκοντα. Στην περίπτωση που η πτυχιακή εργασία απορριφθεί, ο φοιτητής έχει τη δυνατότητα μίας μόνο διόρθωσης. </w:t>
      </w:r>
      <w:r w:rsidR="00015FC9" w:rsidRPr="00D43753">
        <w:rPr>
          <w:rFonts w:ascii="Verdana" w:hAnsi="Verdana"/>
        </w:rPr>
        <w:t>Επισημαίνεται ότι παρασιώπηση βιβλιογραφικών ή άλλων πηγών, όπως και οποιαδήποτε μορφή λογοκλοπής σε κάθε εργασία, συμπεριλαμβανομένης της διπλωματικής, συνεπάγεται απόρριψη της εργασίας. Σε περίπτωση που διαπιστωθεί λογοκλοπή σε σεμ</w:t>
      </w:r>
      <w:r w:rsidR="00015FC9" w:rsidRPr="00D43753">
        <w:rPr>
          <w:rFonts w:ascii="Verdana" w:hAnsi="Verdana"/>
        </w:rPr>
        <w:t>ι</w:t>
      </w:r>
      <w:r w:rsidR="00015FC9" w:rsidRPr="00D43753">
        <w:rPr>
          <w:rFonts w:ascii="Verdana" w:hAnsi="Verdana"/>
        </w:rPr>
        <w:t>ναριακή ή πτυχιακή εργασία, επαφίεται στην κρίση του διδάσκοντα εάν θα συνεχίσει τη συνεργασία του με τον φοιτητή, αναθέτοντάς του εκ νέου θ</w:t>
      </w:r>
      <w:r w:rsidR="00015FC9" w:rsidRPr="00D43753">
        <w:rPr>
          <w:rFonts w:ascii="Verdana" w:hAnsi="Verdana"/>
        </w:rPr>
        <w:t>έ</w:t>
      </w:r>
      <w:r w:rsidR="00015FC9" w:rsidRPr="00D43753">
        <w:rPr>
          <w:rFonts w:ascii="Verdana" w:hAnsi="Verdana"/>
        </w:rPr>
        <w:t>μα για την εκπόνηση εργασίας</w:t>
      </w:r>
      <w:r w:rsidR="00A95E5B" w:rsidRPr="00D43753">
        <w:rPr>
          <w:rFonts w:ascii="Verdana" w:hAnsi="Verdana"/>
        </w:rPr>
        <w:t xml:space="preserve">. </w:t>
      </w:r>
      <w:r w:rsidRPr="00610969">
        <w:rPr>
          <w:rFonts w:ascii="Verdana" w:hAnsi="Verdana"/>
        </w:rPr>
        <w:t xml:space="preserve">Η διορθωμένη </w:t>
      </w:r>
      <w:r w:rsidRPr="00AA4491">
        <w:rPr>
          <w:rFonts w:ascii="Verdana" w:hAnsi="Verdana"/>
        </w:rPr>
        <w:t xml:space="preserve">εργασία </w:t>
      </w:r>
      <w:r w:rsidR="00AA4491" w:rsidRPr="00AA4491">
        <w:rPr>
          <w:rFonts w:ascii="Verdana" w:hAnsi="Verdana"/>
        </w:rPr>
        <w:t>ή η νέα εργασία</w:t>
      </w:r>
      <w:r w:rsidRPr="00610969">
        <w:rPr>
          <w:rFonts w:ascii="Verdana" w:hAnsi="Verdana"/>
        </w:rPr>
        <w:t>π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ραδίδεται την αμέσως επόμενη εξεταστική περίοδο. Η πτυχιακή εργασία 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ντιστοιχεί σε τριάντα (30) ECTS. </w:t>
      </w:r>
      <w:r w:rsidR="00F01167" w:rsidRPr="002E0C8B">
        <w:rPr>
          <w:rFonts w:ascii="Verdana" w:hAnsi="Verdana"/>
        </w:rPr>
        <w:t xml:space="preserve">Ο βαθμός της πτυχιακής εργασίας έχει </w:t>
      </w:r>
      <w:r w:rsidR="00F01167" w:rsidRPr="00ED5F62">
        <w:rPr>
          <w:rFonts w:ascii="Verdana" w:hAnsi="Verdana"/>
        </w:rPr>
        <w:t>συντελεστή βαρύτητας 5 κατά τον υπολογισμό βαθμού πτυχίου</w:t>
      </w:r>
      <w:r w:rsidR="00B47C41" w:rsidRPr="00ED5F62">
        <w:rPr>
          <w:rFonts w:ascii="Verdana" w:hAnsi="Verdana"/>
        </w:rPr>
        <w:t xml:space="preserve"> (βλ. παρ</w:t>
      </w:r>
      <w:r w:rsidR="00B47C41" w:rsidRPr="00ED5F62">
        <w:rPr>
          <w:rFonts w:ascii="Verdana" w:hAnsi="Verdana"/>
        </w:rPr>
        <w:t>α</w:t>
      </w:r>
      <w:r w:rsidR="00B47C41" w:rsidRPr="00ED5F62">
        <w:rPr>
          <w:rFonts w:ascii="Verdana" w:hAnsi="Verdana"/>
        </w:rPr>
        <w:t>κάτω)</w:t>
      </w:r>
      <w:r w:rsidR="00F01167" w:rsidRPr="00ED5F62">
        <w:rPr>
          <w:rFonts w:ascii="Verdana" w:hAnsi="Verdana"/>
        </w:rPr>
        <w:t xml:space="preserve">. </w:t>
      </w:r>
    </w:p>
    <w:p w:rsidR="000779EB" w:rsidRPr="00610969" w:rsidRDefault="000779EB" w:rsidP="00542BE3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8" w:name="_Toc461558043"/>
      <w:r w:rsidRPr="00610969">
        <w:rPr>
          <w:rFonts w:ascii="Verdana" w:hAnsi="Verdana"/>
          <w:color w:val="auto"/>
          <w:sz w:val="22"/>
          <w:szCs w:val="22"/>
        </w:rPr>
        <w:t>ΕΞΕΤΑΣΕΙΣ</w:t>
      </w:r>
      <w:bookmarkEnd w:id="18"/>
    </w:p>
    <w:p w:rsidR="000779EB" w:rsidRPr="00610969" w:rsidRDefault="000779EB" w:rsidP="00C91C37">
      <w:pPr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Η μορφή εξέτασης (γραπτή εξέταση, προφορική εξέταση, πρόοδος, γραπτή εργασία κ.ά.) καθορίζεται από τον εκάστοτε διδάσκοντα και από το είδος του μαθήματος. Οι εξεταστικές περίοδοι είναι: τον Φεβρουάριο για τα 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θήματα του χειμερινού εξαμήνου και τον Ιούνιο για τα μαθήματα του εαρ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>νού εξαμήνου. Η επαναληπτική εξεταστική περίοδος για τα μαθήματα και των δύο εξαμήνων είναι τον Σεπτέμβριο.</w:t>
      </w:r>
    </w:p>
    <w:p w:rsidR="000779EB" w:rsidRPr="00610969" w:rsidRDefault="000779EB" w:rsidP="00C91C37">
      <w:pPr>
        <w:spacing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Η αποτυχία σε μάθημα Τύπου Α συνεπάγεται την εκ νέου εξέτασή του σε επόμενο εξάμηνο. Σε περίπτωση αποτυχίας σε μάθημα Τύπου Β ο φοιτητής μπορεί να επιλέξει το ίδιο ή νέο μάθημα σε επόμενο εξάμηνο. </w:t>
      </w:r>
    </w:p>
    <w:p w:rsidR="000779EB" w:rsidRPr="00610969" w:rsidRDefault="000779EB" w:rsidP="00C91C37">
      <w:pPr>
        <w:spacing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Στα μαθήματα Τύπου Β οι φοιτητές κατά κανόνα συγγράφουν επιστημον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>κές εργασίες.</w:t>
      </w:r>
      <w:r w:rsidR="00C32481" w:rsidRPr="00610969">
        <w:rPr>
          <w:rStyle w:val="FootnoteReference"/>
          <w:rFonts w:ascii="Verdana" w:hAnsi="Verdana"/>
        </w:rPr>
        <w:footnoteReference w:id="3"/>
      </w:r>
      <w:r w:rsidRPr="00610969">
        <w:rPr>
          <w:rFonts w:ascii="Verdana" w:hAnsi="Verdana"/>
        </w:rPr>
        <w:t xml:space="preserve"> Η αξιολόγηση των φοιτητών μπορεί ωστόσο να γίνει και με γραπτή ή προφορική εξέταση ή συνδυασμό όλων των παραπάνω. Το θέμα της σεμιναριακής εργασίας καθορίζεται σε συνεννόηση με τον διδάσκοντα. </w:t>
      </w:r>
      <w:r w:rsidRPr="00610969">
        <w:rPr>
          <w:rFonts w:ascii="Verdana" w:hAnsi="Verdana"/>
        </w:rPr>
        <w:lastRenderedPageBreak/>
        <w:t>Εργασίες που παραδίδονται χωρίς προηγούμενη συνεννόηση, δεν γίνονται δεκτές. Η παράδοση των εργασιών γίνεται το αργότερο στο τέλος κάθε εξ</w:t>
      </w:r>
      <w:r w:rsidRPr="00610969">
        <w:rPr>
          <w:rFonts w:ascii="Verdana" w:hAnsi="Verdana"/>
        </w:rPr>
        <w:t>ε</w:t>
      </w:r>
      <w:r w:rsidRPr="00610969">
        <w:rPr>
          <w:rFonts w:ascii="Verdana" w:hAnsi="Verdana"/>
        </w:rPr>
        <w:t>ταστικής περιόδου. Οι δύο εξεταστικές περίοδοι (κανονική και επαναληπτ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 xml:space="preserve">κή) ισχύουν και για τις σεμιναριακές εργασίες. </w:t>
      </w:r>
    </w:p>
    <w:p w:rsidR="000779EB" w:rsidRPr="00610969" w:rsidRDefault="000779EB" w:rsidP="00A0001E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19" w:name="_Toc461558044"/>
      <w:r w:rsidRPr="00610969">
        <w:rPr>
          <w:rFonts w:ascii="Verdana" w:hAnsi="Verdana"/>
          <w:color w:val="auto"/>
          <w:sz w:val="22"/>
          <w:szCs w:val="22"/>
        </w:rPr>
        <w:t>ΕΓΓΡΑΦΕΣ – ΔΗΛΩΣΕΙΣ ΜΑΘΗΜΑΤΩΝ</w:t>
      </w:r>
      <w:bookmarkEnd w:id="19"/>
    </w:p>
    <w:p w:rsidR="00AC6B60" w:rsidRPr="00610969" w:rsidRDefault="000779EB" w:rsidP="00AC6B60">
      <w:pPr>
        <w:spacing w:before="120"/>
        <w:jc w:val="both"/>
        <w:rPr>
          <w:rFonts w:ascii="Verdana" w:hAnsi="Verdana"/>
        </w:rPr>
      </w:pPr>
      <w:r w:rsidRPr="00610969">
        <w:rPr>
          <w:rFonts w:ascii="Verdana" w:hAnsi="Verdana"/>
        </w:rPr>
        <w:t>Εγγραφές και δηλώσεις μαθημάτων γίνονται στην αρχή κάθε εξαμήνου μ</w:t>
      </w:r>
      <w:r w:rsidRPr="00610969">
        <w:rPr>
          <w:rFonts w:ascii="Verdana" w:hAnsi="Verdana"/>
        </w:rPr>
        <w:t>ε</w:t>
      </w:r>
      <w:r w:rsidRPr="00610969">
        <w:rPr>
          <w:rFonts w:ascii="Verdana" w:hAnsi="Verdana"/>
        </w:rPr>
        <w:t>τά από σχετική ανακοίνωση της Γραμματείας. Για περισσότερες πληροφορ</w:t>
      </w:r>
      <w:r w:rsidRPr="00610969">
        <w:rPr>
          <w:rFonts w:ascii="Verdana" w:hAnsi="Verdana"/>
        </w:rPr>
        <w:t>ί</w:t>
      </w:r>
      <w:r w:rsidRPr="00610969">
        <w:rPr>
          <w:rFonts w:ascii="Verdana" w:hAnsi="Verdana"/>
        </w:rPr>
        <w:t xml:space="preserve">ες βλ.: </w:t>
      </w:r>
    </w:p>
    <w:p w:rsidR="00A0001E" w:rsidRPr="00A0001E" w:rsidRDefault="002E1147" w:rsidP="00A0001E">
      <w:pPr>
        <w:pStyle w:val="Heading1"/>
        <w:spacing w:before="240"/>
        <w:jc w:val="center"/>
        <w:rPr>
          <w:rStyle w:val="Hyperlink"/>
          <w:rFonts w:ascii="Verdana" w:eastAsia="Times New Roman" w:hAnsi="Verdana" w:cs="Times New Roman"/>
          <w:b w:val="0"/>
          <w:bCs w:val="0"/>
          <w:sz w:val="18"/>
          <w:szCs w:val="22"/>
        </w:rPr>
      </w:pPr>
      <w:hyperlink r:id="rId8" w:history="1">
        <w:r w:rsidR="00F53FF8" w:rsidRPr="00A0001E">
          <w:rPr>
            <w:rStyle w:val="Hyperlink"/>
            <w:rFonts w:ascii="Verdana" w:hAnsi="Verdana"/>
            <w:b w:val="0"/>
            <w:sz w:val="22"/>
          </w:rPr>
          <w:t>http://www.gs.uoa.gr/grammateia/dhloseis-ma8hmatwn-e3etaseis.html</w:t>
        </w:r>
      </w:hyperlink>
      <w:r w:rsidR="00F53FF8" w:rsidRPr="00A0001E">
        <w:rPr>
          <w:rFonts w:ascii="Verdana" w:hAnsi="Verdana"/>
          <w:b w:val="0"/>
          <w:sz w:val="22"/>
        </w:rPr>
        <w:t>.</w:t>
      </w:r>
      <w:bookmarkStart w:id="20" w:name="_Toc461558045"/>
    </w:p>
    <w:p w:rsidR="00936DE8" w:rsidRPr="00610969" w:rsidRDefault="00936DE8" w:rsidP="00D37F48">
      <w:pPr>
        <w:pStyle w:val="Heading1"/>
        <w:spacing w:before="720"/>
        <w:jc w:val="center"/>
        <w:rPr>
          <w:rFonts w:ascii="Verdana" w:hAnsi="Verdana"/>
          <w:color w:val="auto"/>
          <w:sz w:val="22"/>
          <w:szCs w:val="22"/>
        </w:rPr>
      </w:pPr>
      <w:r w:rsidRPr="00610969">
        <w:rPr>
          <w:rFonts w:ascii="Verdana" w:hAnsi="Verdana"/>
          <w:color w:val="auto"/>
          <w:sz w:val="22"/>
          <w:szCs w:val="22"/>
        </w:rPr>
        <w:t>ΥΠΟΛΟΓΙΣΜΟΣ ΒΑΘΜΟΥ ΠΤΥΧΙΟΥ</w:t>
      </w:r>
      <w:bookmarkEnd w:id="20"/>
    </w:p>
    <w:p w:rsidR="00936DE8" w:rsidRPr="00610969" w:rsidRDefault="00936DE8" w:rsidP="005A01D1">
      <w:pPr>
        <w:tabs>
          <w:tab w:val="left" w:pos="567"/>
          <w:tab w:val="left" w:pos="1134"/>
          <w:tab w:val="left" w:pos="3402"/>
          <w:tab w:val="left" w:pos="4536"/>
          <w:tab w:val="left" w:pos="7088"/>
        </w:tabs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Ο φοιτητής παίρνει σε κάθε μάθημα ένα βαθμό που αντιστοιχεί σε συγκ</w:t>
      </w:r>
      <w:r w:rsidRPr="00610969">
        <w:rPr>
          <w:rFonts w:ascii="Verdana" w:hAnsi="Verdana"/>
        </w:rPr>
        <w:t>ε</w:t>
      </w:r>
      <w:r w:rsidRPr="00610969">
        <w:rPr>
          <w:rFonts w:ascii="Verdana" w:hAnsi="Verdana"/>
        </w:rPr>
        <w:t>κριμένο αριθμό πιστωτικών μονάδων ΕCTS, όπως αναφέρθηκε αναλυτικά παραπάνω. Το σύνολο των βαθμών και των ECTS έχει ως εξής:</w:t>
      </w:r>
    </w:p>
    <w:tbl>
      <w:tblPr>
        <w:tblStyle w:val="TableGrid"/>
        <w:tblW w:w="5122" w:type="pct"/>
        <w:tblLook w:val="01E0"/>
      </w:tblPr>
      <w:tblGrid>
        <w:gridCol w:w="3628"/>
        <w:gridCol w:w="2609"/>
        <w:gridCol w:w="2493"/>
      </w:tblGrid>
      <w:tr w:rsidR="002869E2" w:rsidRPr="00610969" w:rsidTr="002869E2">
        <w:trPr>
          <w:trHeight w:val="60"/>
        </w:trPr>
        <w:tc>
          <w:tcPr>
            <w:tcW w:w="2078" w:type="pct"/>
            <w:shd w:val="clear" w:color="auto" w:fill="EEECE1" w:themeFill="background2"/>
            <w:vAlign w:val="center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120" w:after="12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94" w:type="pct"/>
            <w:shd w:val="clear" w:color="auto" w:fill="EEECE1" w:themeFill="background2"/>
            <w:vAlign w:val="center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120" w:after="120" w:line="240" w:lineRule="auto"/>
              <w:jc w:val="center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ΑΡΙΘΜΟΣΒΑΘΜΩΝ</w:t>
            </w:r>
          </w:p>
        </w:tc>
        <w:tc>
          <w:tcPr>
            <w:tcW w:w="1428" w:type="pct"/>
            <w:shd w:val="clear" w:color="auto" w:fill="EEECE1" w:themeFill="background2"/>
            <w:vAlign w:val="center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120" w:after="120" w:line="240" w:lineRule="auto"/>
              <w:jc w:val="center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ECTS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Προπαρασκευαστικό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1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4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 xml:space="preserve">Πρακτικές Γλωσσικές Ασκήσεις </w:t>
            </w:r>
          </w:p>
        </w:tc>
        <w:tc>
          <w:tcPr>
            <w:tcW w:w="1494" w:type="pct"/>
          </w:tcPr>
          <w:p w:rsidR="00936DE8" w:rsidRPr="002E0C8B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2E0C8B">
              <w:rPr>
                <w:rFonts w:ascii="Verdana" w:hAnsi="Verdana"/>
              </w:rPr>
              <w:t>1 (x3)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10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Γλωσσολογία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16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76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Λογοτεχνία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16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76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 xml:space="preserve">Ελεύθερη επιλογή 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5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30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Πτυχιακή εργασία</w:t>
            </w:r>
          </w:p>
        </w:tc>
        <w:tc>
          <w:tcPr>
            <w:tcW w:w="1494" w:type="pct"/>
          </w:tcPr>
          <w:p w:rsidR="00936DE8" w:rsidRPr="002E0C8B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2E0C8B">
              <w:rPr>
                <w:rFonts w:ascii="Verdana" w:hAnsi="Verdana"/>
              </w:rPr>
              <w:t>1 (x5)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30</w:t>
            </w:r>
          </w:p>
        </w:tc>
      </w:tr>
      <w:tr w:rsidR="002869E2" w:rsidRPr="00610969" w:rsidTr="002869E2">
        <w:trPr>
          <w:trHeight w:val="60"/>
        </w:trPr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 xml:space="preserve">Μαθήματα από άλλα Τμήματα 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4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610969">
              <w:rPr>
                <w:rFonts w:ascii="Verdana" w:hAnsi="Verdana"/>
              </w:rPr>
              <w:t>16</w:t>
            </w:r>
          </w:p>
        </w:tc>
      </w:tr>
      <w:tr w:rsidR="002869E2" w:rsidRPr="00610969" w:rsidTr="002869E2">
        <w:tc>
          <w:tcPr>
            <w:tcW w:w="207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Σύνολο</w:t>
            </w:r>
          </w:p>
        </w:tc>
        <w:tc>
          <w:tcPr>
            <w:tcW w:w="1494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44</w:t>
            </w:r>
          </w:p>
        </w:tc>
        <w:tc>
          <w:tcPr>
            <w:tcW w:w="1428" w:type="pct"/>
          </w:tcPr>
          <w:p w:rsidR="00936DE8" w:rsidRPr="00610969" w:rsidRDefault="00936DE8" w:rsidP="002869E2">
            <w:pPr>
              <w:tabs>
                <w:tab w:val="left" w:pos="567"/>
                <w:tab w:val="left" w:pos="1134"/>
                <w:tab w:val="left" w:pos="3402"/>
                <w:tab w:val="left" w:pos="4536"/>
                <w:tab w:val="left" w:pos="7088"/>
              </w:tabs>
              <w:spacing w:before="60" w:after="60" w:line="240" w:lineRule="auto"/>
              <w:jc w:val="center"/>
              <w:rPr>
                <w:rFonts w:ascii="Verdana" w:hAnsi="Verdana"/>
                <w:b/>
              </w:rPr>
            </w:pPr>
            <w:r w:rsidRPr="00610969">
              <w:rPr>
                <w:rFonts w:ascii="Verdana" w:hAnsi="Verdana"/>
                <w:b/>
              </w:rPr>
              <w:t>242</w:t>
            </w:r>
          </w:p>
        </w:tc>
      </w:tr>
    </w:tbl>
    <w:p w:rsidR="00936DE8" w:rsidRPr="00610969" w:rsidRDefault="00936DE8" w:rsidP="00936DE8">
      <w:pPr>
        <w:tabs>
          <w:tab w:val="left" w:pos="567"/>
          <w:tab w:val="left" w:pos="1134"/>
          <w:tab w:val="left" w:pos="3402"/>
          <w:tab w:val="left" w:pos="4536"/>
          <w:tab w:val="left" w:pos="7088"/>
        </w:tabs>
        <w:spacing w:before="240" w:after="240" w:line="360" w:lineRule="auto"/>
        <w:jc w:val="both"/>
        <w:rPr>
          <w:rFonts w:ascii="Verdana" w:hAnsi="Verdana"/>
          <w:b/>
        </w:rPr>
      </w:pPr>
      <w:r w:rsidRPr="00610969">
        <w:rPr>
          <w:rFonts w:ascii="Verdana" w:hAnsi="Verdana"/>
        </w:rPr>
        <w:t>Ο γενικός βαθμός πτυχίου είναι ο μέσος όρος των παραπάνω βαθμών.</w:t>
      </w:r>
    </w:p>
    <w:p w:rsidR="000779EB" w:rsidRPr="00610969" w:rsidRDefault="000779EB" w:rsidP="006A7FDC">
      <w:pPr>
        <w:pStyle w:val="Heading1"/>
        <w:spacing w:before="600"/>
        <w:jc w:val="center"/>
        <w:rPr>
          <w:rFonts w:ascii="Verdana" w:hAnsi="Verdana"/>
          <w:color w:val="auto"/>
          <w:sz w:val="22"/>
          <w:szCs w:val="22"/>
        </w:rPr>
      </w:pPr>
      <w:bookmarkStart w:id="21" w:name="_Toc461558046"/>
      <w:r w:rsidRPr="00610969">
        <w:rPr>
          <w:rFonts w:ascii="Verdana" w:hAnsi="Verdana"/>
          <w:color w:val="auto"/>
          <w:sz w:val="22"/>
          <w:szCs w:val="22"/>
        </w:rPr>
        <w:t xml:space="preserve">ΠΙΣΤΟΠΟΙΗΣΗ ΠΑΙΔΑΓΩΓΙΚΗΣ </w:t>
      </w:r>
      <w:r w:rsidR="004B3D19">
        <w:rPr>
          <w:rFonts w:ascii="Verdana" w:hAnsi="Verdana"/>
          <w:color w:val="auto"/>
          <w:sz w:val="22"/>
          <w:szCs w:val="22"/>
        </w:rPr>
        <w:t>ΚΑΙ</w:t>
      </w:r>
      <w:r w:rsidRPr="00610969">
        <w:rPr>
          <w:rFonts w:ascii="Verdana" w:hAnsi="Verdana"/>
          <w:color w:val="auto"/>
          <w:sz w:val="22"/>
          <w:szCs w:val="22"/>
        </w:rPr>
        <w:t xml:space="preserve"> ΔΙΔΑΚΤΙΚΗΣ ΕΠΑΡΚΕΙΑΣ</w:t>
      </w:r>
      <w:bookmarkEnd w:id="21"/>
    </w:p>
    <w:p w:rsidR="000779EB" w:rsidRPr="00610969" w:rsidRDefault="000779EB" w:rsidP="00454A16">
      <w:pPr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>Το Τμήμα, στο πλαίσιο του παρόντος Προγράμματος Προπτυχιακών Σπο</w:t>
      </w:r>
      <w:r w:rsidRPr="00610969">
        <w:rPr>
          <w:rFonts w:ascii="Verdana" w:hAnsi="Verdana"/>
        </w:rPr>
        <w:t>υ</w:t>
      </w:r>
      <w:r w:rsidRPr="00610969">
        <w:rPr>
          <w:rFonts w:ascii="Verdana" w:hAnsi="Verdana"/>
        </w:rPr>
        <w:t>δών, παρέχει πιστοποιημένη Παιδαγωγική-Διδακτική Επάρκεια</w:t>
      </w:r>
      <w:r w:rsidR="00673DA1">
        <w:rPr>
          <w:rStyle w:val="FootnoteReference"/>
          <w:rFonts w:ascii="Verdana" w:hAnsi="Verdana"/>
        </w:rPr>
        <w:footnoteReference w:id="4"/>
      </w:r>
      <w:r w:rsidR="00434333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στους απ</w:t>
      </w:r>
      <w:r w:rsidRPr="00610969">
        <w:rPr>
          <w:rFonts w:ascii="Verdana" w:hAnsi="Verdana"/>
        </w:rPr>
        <w:t>ο</w:t>
      </w:r>
      <w:r w:rsidRPr="00610969">
        <w:rPr>
          <w:rFonts w:ascii="Verdana" w:hAnsi="Verdana"/>
        </w:rPr>
        <w:t xml:space="preserve">φοίτους με ακαδημαϊκό έτος εισαγωγής 2013/14 και εφεξής (ΦΕΚ </w:t>
      </w:r>
      <w:r w:rsidRPr="00610969">
        <w:rPr>
          <w:rFonts w:ascii="Verdana" w:hAnsi="Verdana"/>
        </w:rPr>
        <w:lastRenderedPageBreak/>
        <w:t xml:space="preserve">3685/31-12-2014), </w:t>
      </w:r>
      <w:r w:rsidRPr="00610969">
        <w:rPr>
          <w:rFonts w:ascii="Verdana" w:hAnsi="Verdana"/>
          <w:b/>
          <w:u w:val="single"/>
        </w:rPr>
        <w:t>εφόσον</w:t>
      </w:r>
      <w:r w:rsidRPr="00610969">
        <w:rPr>
          <w:rFonts w:ascii="Verdana" w:hAnsi="Verdana"/>
        </w:rPr>
        <w:t xml:space="preserve"> για την απόκτηση του πτυχίου τους έχουν 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ξιολογηθεί επιτυχώς σε συγκεκριμένα διδακτικά αντικείμενα-μαθήματα ανά προβλεπόμενη από τον νόμο θεματική περιοχή</w:t>
      </w:r>
      <w:r w:rsidR="006E5096">
        <w:rPr>
          <w:rFonts w:ascii="Verdana" w:hAnsi="Verdana"/>
        </w:rPr>
        <w:t>:</w:t>
      </w:r>
      <w:r w:rsidRPr="00610969">
        <w:rPr>
          <w:rFonts w:ascii="Verdana" w:hAnsi="Verdana"/>
        </w:rPr>
        <w:t xml:space="preserve"> 1. Θέματα εκπαίδευσης και αγωγής, 2. Θέματα μάθησης και διδασκαλίας </w:t>
      </w:r>
      <w:r w:rsidR="006E5096">
        <w:rPr>
          <w:rFonts w:ascii="Verdana" w:hAnsi="Verdana"/>
        </w:rPr>
        <w:t xml:space="preserve">και </w:t>
      </w:r>
      <w:r w:rsidRPr="00610969">
        <w:rPr>
          <w:rFonts w:ascii="Verdana" w:hAnsi="Verdana"/>
        </w:rPr>
        <w:t xml:space="preserve">3. Ειδική διδακτική και πρακτική άσκηση. </w:t>
      </w:r>
    </w:p>
    <w:p w:rsidR="000779EB" w:rsidRPr="00610969" w:rsidRDefault="000779EB" w:rsidP="00823760">
      <w:pPr>
        <w:spacing w:before="120" w:after="12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Συγκεκριμένα, για την απόκτηση της ως άνω πιστοποίησης </w:t>
      </w:r>
      <w:r w:rsidR="00823760">
        <w:rPr>
          <w:rFonts w:ascii="Verdana" w:hAnsi="Verdana"/>
        </w:rPr>
        <w:t>απαιτείται</w:t>
      </w:r>
      <w:r w:rsidR="00F102E9">
        <w:rPr>
          <w:rFonts w:ascii="Verdana" w:hAnsi="Verdana"/>
        </w:rPr>
        <w:t xml:space="preserve"> </w:t>
      </w:r>
      <w:r w:rsidR="00823760">
        <w:rPr>
          <w:rFonts w:ascii="Verdana" w:hAnsi="Verdana"/>
        </w:rPr>
        <w:t>η</w:t>
      </w:r>
      <w:r w:rsidRPr="00610969">
        <w:rPr>
          <w:rFonts w:ascii="Verdana" w:hAnsi="Verdana"/>
        </w:rPr>
        <w:t xml:space="preserve"> σ</w:t>
      </w:r>
      <w:r w:rsidRPr="00610969">
        <w:rPr>
          <w:rFonts w:ascii="Verdana" w:hAnsi="Verdana"/>
        </w:rPr>
        <w:t>υ</w:t>
      </w:r>
      <w:r w:rsidRPr="00610969">
        <w:rPr>
          <w:rFonts w:ascii="Verdana" w:hAnsi="Verdana"/>
        </w:rPr>
        <w:t>μπλήρωση τριάντα (30) τουλάχιστον ευρωπαϊκών πιστωτικών μονάδων ΕCTS</w:t>
      </w:r>
      <w:r w:rsidR="00EE3805">
        <w:rPr>
          <w:rFonts w:ascii="Verdana" w:hAnsi="Verdana"/>
        </w:rPr>
        <w:t>,</w:t>
      </w:r>
      <w:r w:rsidR="00823760">
        <w:rPr>
          <w:rFonts w:ascii="Verdana" w:hAnsi="Verdana"/>
        </w:rPr>
        <w:t xml:space="preserve"> η οποία προκύπτει από την </w:t>
      </w:r>
      <w:r w:rsidRPr="00610969">
        <w:rPr>
          <w:rFonts w:ascii="Verdana" w:hAnsi="Verdana"/>
        </w:rPr>
        <w:t xml:space="preserve">επιτυχή εξέταση σε </w:t>
      </w:r>
      <w:r w:rsidR="00457853" w:rsidRPr="005926EF">
        <w:rPr>
          <w:rFonts w:ascii="Verdana" w:hAnsi="Verdana"/>
        </w:rPr>
        <w:t>μαθήματα</w:t>
      </w:r>
      <w:r w:rsidR="005926EF" w:rsidRPr="005926EF">
        <w:rPr>
          <w:rFonts w:ascii="Verdana" w:hAnsi="Verdana"/>
        </w:rPr>
        <w:t xml:space="preserve"> που προέρχονται από</w:t>
      </w:r>
      <w:r w:rsidR="00457853" w:rsidRPr="005926EF">
        <w:rPr>
          <w:rFonts w:ascii="Verdana" w:hAnsi="Verdana"/>
        </w:rPr>
        <w:t xml:space="preserve"> τρ</w:t>
      </w:r>
      <w:r w:rsidR="005926EF" w:rsidRPr="005926EF">
        <w:rPr>
          <w:rFonts w:ascii="Verdana" w:hAnsi="Verdana"/>
        </w:rPr>
        <w:t>εις</w:t>
      </w:r>
      <w:r w:rsidR="00F102E9">
        <w:rPr>
          <w:rFonts w:ascii="Verdana" w:hAnsi="Verdana"/>
        </w:rPr>
        <w:t xml:space="preserve"> </w:t>
      </w:r>
      <w:r w:rsidR="005926EF" w:rsidRPr="005926EF">
        <w:rPr>
          <w:rFonts w:ascii="Verdana" w:hAnsi="Verdana"/>
        </w:rPr>
        <w:t>διαφορετικές</w:t>
      </w:r>
      <w:r w:rsidR="00457853" w:rsidRPr="005926EF">
        <w:rPr>
          <w:rFonts w:ascii="Verdana" w:hAnsi="Verdana"/>
        </w:rPr>
        <w:t xml:space="preserve"> θεματικ</w:t>
      </w:r>
      <w:r w:rsidR="005926EF" w:rsidRPr="005926EF">
        <w:rPr>
          <w:rFonts w:ascii="Verdana" w:hAnsi="Verdana"/>
        </w:rPr>
        <w:t>ές</w:t>
      </w:r>
      <w:r w:rsidR="00457853" w:rsidRPr="005926EF">
        <w:rPr>
          <w:rFonts w:ascii="Verdana" w:hAnsi="Verdana"/>
        </w:rPr>
        <w:t xml:space="preserve"> περιοχ</w:t>
      </w:r>
      <w:r w:rsidR="005926EF" w:rsidRPr="005926EF">
        <w:rPr>
          <w:rFonts w:ascii="Verdana" w:hAnsi="Verdana"/>
        </w:rPr>
        <w:t>ές</w:t>
      </w:r>
      <w:r w:rsidR="00457853" w:rsidRPr="005926EF">
        <w:rPr>
          <w:rFonts w:ascii="Verdana" w:hAnsi="Verdana"/>
        </w:rPr>
        <w:t>:</w:t>
      </w:r>
    </w:p>
    <w:p w:rsidR="000779EB" w:rsidRPr="00610969" w:rsidRDefault="000779EB" w:rsidP="00281AA8">
      <w:pPr>
        <w:pStyle w:val="ListParagraph"/>
        <w:numPr>
          <w:ilvl w:val="0"/>
          <w:numId w:val="13"/>
        </w:numPr>
        <w:spacing w:line="360" w:lineRule="auto"/>
        <w:ind w:left="397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ένα τουλάχιστον </w:t>
      </w:r>
      <w:r w:rsidR="00A94DA2">
        <w:rPr>
          <w:rFonts w:ascii="Verdana" w:hAnsi="Verdana"/>
        </w:rPr>
        <w:t>(</w:t>
      </w:r>
      <w:r w:rsidR="00296ECB">
        <w:rPr>
          <w:rFonts w:ascii="Verdana" w:hAnsi="Verdana"/>
        </w:rPr>
        <w:t>τρίωρο</w:t>
      </w:r>
      <w:r w:rsidR="00A94DA2">
        <w:rPr>
          <w:rFonts w:ascii="Verdana" w:hAnsi="Verdana"/>
        </w:rPr>
        <w:t>)</w:t>
      </w:r>
      <w:r w:rsidR="00866F88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μάθημα από την πρώτη θεματική περιοχή</w:t>
      </w:r>
      <w:r w:rsidR="00457853">
        <w:rPr>
          <w:rFonts w:ascii="Verdana" w:hAnsi="Verdana"/>
        </w:rPr>
        <w:t xml:space="preserve"> (Θέματα εκπαίδευσης και αγωγής</w:t>
      </w:r>
      <w:r w:rsidR="005926EF">
        <w:rPr>
          <w:rFonts w:ascii="Verdana" w:hAnsi="Verdana"/>
        </w:rPr>
        <w:t>)</w:t>
      </w:r>
      <w:r w:rsidRPr="00610969">
        <w:rPr>
          <w:rFonts w:ascii="Verdana" w:hAnsi="Verdana"/>
        </w:rPr>
        <w:t>,</w:t>
      </w:r>
    </w:p>
    <w:p w:rsidR="000779EB" w:rsidRPr="00610969" w:rsidRDefault="000779EB" w:rsidP="00281AA8">
      <w:pPr>
        <w:pStyle w:val="ListParagraph"/>
        <w:numPr>
          <w:ilvl w:val="0"/>
          <w:numId w:val="13"/>
        </w:numPr>
        <w:spacing w:line="360" w:lineRule="auto"/>
        <w:ind w:left="39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ένα τουλάχιστον </w:t>
      </w:r>
      <w:r w:rsidR="00A94DA2">
        <w:rPr>
          <w:rFonts w:ascii="Verdana" w:hAnsi="Verdana"/>
        </w:rPr>
        <w:t>(</w:t>
      </w:r>
      <w:r w:rsidR="00296ECB">
        <w:rPr>
          <w:rFonts w:ascii="Verdana" w:hAnsi="Verdana"/>
        </w:rPr>
        <w:t>τρίωρο</w:t>
      </w:r>
      <w:r w:rsidR="00A94DA2">
        <w:rPr>
          <w:rFonts w:ascii="Verdana" w:hAnsi="Verdana"/>
        </w:rPr>
        <w:t>)</w:t>
      </w:r>
      <w:r w:rsidR="00866F88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μάθημα από τη δεύτερη θεματική περιοχή</w:t>
      </w:r>
      <w:r w:rsidR="005926EF">
        <w:rPr>
          <w:rFonts w:ascii="Verdana" w:hAnsi="Verdana"/>
        </w:rPr>
        <w:t xml:space="preserve"> (Θέματα μάθησης και διδασκαλίας</w:t>
      </w:r>
      <w:r w:rsidR="00F102E9">
        <w:rPr>
          <w:rFonts w:ascii="Verdana" w:hAnsi="Verdana"/>
        </w:rPr>
        <w:t>)</w:t>
      </w:r>
      <w:r w:rsidRPr="00610969">
        <w:rPr>
          <w:rFonts w:ascii="Verdana" w:hAnsi="Verdana"/>
        </w:rPr>
        <w:t xml:space="preserve"> και</w:t>
      </w:r>
    </w:p>
    <w:p w:rsidR="000779EB" w:rsidRPr="00610969" w:rsidRDefault="000779EB" w:rsidP="00F27730">
      <w:pPr>
        <w:pStyle w:val="ListParagraph"/>
        <w:numPr>
          <w:ilvl w:val="0"/>
          <w:numId w:val="13"/>
        </w:numPr>
        <w:spacing w:after="120" w:line="360" w:lineRule="auto"/>
        <w:ind w:left="397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τέσσερα τουλάχιστον </w:t>
      </w:r>
      <w:r w:rsidR="00A94DA2">
        <w:rPr>
          <w:rFonts w:ascii="Verdana" w:hAnsi="Verdana"/>
        </w:rPr>
        <w:t>(</w:t>
      </w:r>
      <w:r w:rsidR="00296ECB">
        <w:rPr>
          <w:rFonts w:ascii="Verdana" w:hAnsi="Verdana"/>
        </w:rPr>
        <w:t>τρίωρα</w:t>
      </w:r>
      <w:r w:rsidR="00A94DA2">
        <w:rPr>
          <w:rFonts w:ascii="Verdana" w:hAnsi="Verdana"/>
        </w:rPr>
        <w:t>)</w:t>
      </w:r>
      <w:r w:rsidR="00866F88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μαθήματα από την τρίτη θεματική περ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 xml:space="preserve">οχή </w:t>
      </w:r>
      <w:r w:rsidR="005926EF">
        <w:rPr>
          <w:rFonts w:ascii="Verdana" w:hAnsi="Verdana"/>
        </w:rPr>
        <w:t>(Ειδική Διδακτική και Πρακτική Άσκηση)</w:t>
      </w:r>
      <w:r w:rsidR="008C21B5">
        <w:rPr>
          <w:rFonts w:ascii="Verdana" w:hAnsi="Verdana"/>
        </w:rPr>
        <w:t>,</w:t>
      </w:r>
      <w:r w:rsidR="00F102E9">
        <w:rPr>
          <w:rFonts w:ascii="Verdana" w:hAnsi="Verdana"/>
        </w:rPr>
        <w:t xml:space="preserve"> </w:t>
      </w:r>
      <w:r w:rsidRPr="00610969">
        <w:rPr>
          <w:rFonts w:ascii="Verdana" w:hAnsi="Verdana"/>
        </w:rPr>
        <w:t>εκ των οποίων δύο μαθ</w:t>
      </w:r>
      <w:r w:rsidRPr="00610969">
        <w:rPr>
          <w:rFonts w:ascii="Verdana" w:hAnsi="Verdana"/>
        </w:rPr>
        <w:t>ή</w:t>
      </w:r>
      <w:r w:rsidRPr="00610969">
        <w:rPr>
          <w:rFonts w:ascii="Verdana" w:hAnsi="Verdana"/>
        </w:rPr>
        <w:t>ματα (</w:t>
      </w:r>
      <w:r w:rsidR="0015064F" w:rsidRPr="0015064F">
        <w:rPr>
          <w:rFonts w:ascii="Verdana" w:hAnsi="Verdana"/>
          <w:i/>
        </w:rPr>
        <w:t>DGY 18: Εισαγωγή στη Διδακτική της Γερμανικής ως ξένης γλώσσας Ι</w:t>
      </w:r>
      <w:r w:rsidR="00F102E9">
        <w:rPr>
          <w:rFonts w:ascii="Verdana" w:hAnsi="Verdana"/>
          <w:i/>
        </w:rPr>
        <w:t xml:space="preserve"> </w:t>
      </w:r>
      <w:r w:rsidRPr="00610969">
        <w:rPr>
          <w:rFonts w:ascii="Verdana" w:hAnsi="Verdana"/>
        </w:rPr>
        <w:t xml:space="preserve">και </w:t>
      </w:r>
      <w:r w:rsidR="0015064F" w:rsidRPr="0015064F">
        <w:rPr>
          <w:rFonts w:ascii="Verdana" w:hAnsi="Verdana"/>
          <w:i/>
        </w:rPr>
        <w:t>DGY 19: Εισαγωγή στη Διδακτική της Γερμανικής ως ξ</w:t>
      </w:r>
      <w:r w:rsidR="0015064F" w:rsidRPr="0015064F">
        <w:rPr>
          <w:rFonts w:ascii="Verdana" w:hAnsi="Verdana"/>
          <w:i/>
        </w:rPr>
        <w:t>έ</w:t>
      </w:r>
      <w:r w:rsidR="0015064F" w:rsidRPr="0015064F">
        <w:rPr>
          <w:rFonts w:ascii="Verdana" w:hAnsi="Verdana"/>
          <w:i/>
        </w:rPr>
        <w:t>νης γλώσσας ΙΙ</w:t>
      </w:r>
      <w:r w:rsidRPr="00610969">
        <w:rPr>
          <w:rFonts w:ascii="Verdana" w:hAnsi="Verdana"/>
        </w:rPr>
        <w:t xml:space="preserve">) </w:t>
      </w:r>
      <w:r w:rsidR="001E364A">
        <w:rPr>
          <w:rFonts w:ascii="Verdana" w:hAnsi="Verdana"/>
        </w:rPr>
        <w:t xml:space="preserve">είναι υποχρεωτικά, ενώ </w:t>
      </w:r>
      <w:r w:rsidR="00E73720">
        <w:rPr>
          <w:rFonts w:ascii="Verdana" w:hAnsi="Verdana"/>
        </w:rPr>
        <w:t xml:space="preserve">τα </w:t>
      </w:r>
      <w:r w:rsidRPr="00610969">
        <w:rPr>
          <w:rFonts w:ascii="Verdana" w:hAnsi="Verdana"/>
        </w:rPr>
        <w:t xml:space="preserve">άλλα δύο υποχρεωτικής </w:t>
      </w:r>
      <w:r w:rsidRPr="00610969">
        <w:rPr>
          <w:rFonts w:ascii="Verdana" w:hAnsi="Verdana"/>
        </w:rPr>
        <w:t>ε</w:t>
      </w:r>
      <w:r w:rsidRPr="00610969">
        <w:rPr>
          <w:rFonts w:ascii="Verdana" w:hAnsi="Verdana"/>
        </w:rPr>
        <w:t>πιλογής.</w:t>
      </w:r>
    </w:p>
    <w:p w:rsidR="000779EB" w:rsidRPr="00610969" w:rsidRDefault="00EE3805" w:rsidP="006A7FDC">
      <w:pPr>
        <w:spacing w:before="240" w:after="0"/>
        <w:rPr>
          <w:rFonts w:ascii="Verdana" w:hAnsi="Verdana"/>
        </w:rPr>
      </w:pPr>
      <w:r>
        <w:rPr>
          <w:rFonts w:ascii="Verdana" w:hAnsi="Verdana"/>
        </w:rPr>
        <w:t>Αναλυτικά</w:t>
      </w:r>
      <w:r w:rsidR="00046E4C">
        <w:rPr>
          <w:rFonts w:ascii="Verdana" w:hAnsi="Verdana"/>
        </w:rPr>
        <w:t>:</w:t>
      </w:r>
    </w:p>
    <w:p w:rsidR="00046E4C" w:rsidRPr="00610969" w:rsidRDefault="00046E4C" w:rsidP="006A7FDC">
      <w:pPr>
        <w:shd w:val="clear" w:color="auto" w:fill="404040" w:themeFill="text1" w:themeFillTint="BF"/>
        <w:spacing w:before="120" w:after="240" w:line="360" w:lineRule="auto"/>
        <w:jc w:val="center"/>
        <w:rPr>
          <w:rFonts w:ascii="Verdana" w:hAnsi="Verdana"/>
          <w:b/>
          <w:color w:val="FFFFFF" w:themeColor="background1"/>
        </w:rPr>
      </w:pPr>
      <w:r w:rsidRPr="00046E4C">
        <w:rPr>
          <w:rFonts w:ascii="Verdana" w:hAnsi="Verdana"/>
          <w:b/>
          <w:color w:val="FFFFFF" w:themeColor="background1"/>
        </w:rPr>
        <w:t>1</w:t>
      </w:r>
      <w:r w:rsidR="00823760" w:rsidRPr="00D75370">
        <w:rPr>
          <w:rFonts w:ascii="Verdana" w:hAnsi="Verdana"/>
          <w:b/>
          <w:color w:val="FFFFFF" w:themeColor="background1"/>
          <w:vertAlign w:val="superscript"/>
        </w:rPr>
        <w:t>η</w:t>
      </w:r>
      <w:r w:rsidR="00866F88">
        <w:rPr>
          <w:rFonts w:ascii="Verdana" w:hAnsi="Verdana"/>
          <w:b/>
          <w:color w:val="FFFFFF" w:themeColor="background1"/>
        </w:rPr>
        <w:t xml:space="preserve"> </w:t>
      </w:r>
      <w:r w:rsidRPr="00046E4C">
        <w:rPr>
          <w:rFonts w:ascii="Verdana" w:hAnsi="Verdana"/>
          <w:b/>
          <w:color w:val="FFFFFF" w:themeColor="background1"/>
        </w:rPr>
        <w:t>ΘΕΜΑΤΙΚΗ ΠΕΡΙΟΧΗ: Θέματα εκπαίδευσης και αγωγής</w:t>
      </w:r>
    </w:p>
    <w:p w:rsidR="00046E4C" w:rsidRPr="00610969" w:rsidRDefault="00046E4C" w:rsidP="005A01D1">
      <w:pPr>
        <w:spacing w:before="120" w:after="0" w:line="360" w:lineRule="auto"/>
        <w:jc w:val="both"/>
        <w:rPr>
          <w:rFonts w:ascii="Verdana" w:hAnsi="Verdana"/>
        </w:rPr>
      </w:pPr>
      <w:r w:rsidRPr="00EE3805">
        <w:rPr>
          <w:rFonts w:ascii="Verdana" w:hAnsi="Verdana"/>
          <w:b/>
        </w:rPr>
        <w:t>Τουλάχιστον 1 μάθημα (Υποχρεωτική Επιλογή)</w:t>
      </w:r>
      <w:r w:rsidRPr="00610969">
        <w:rPr>
          <w:rFonts w:ascii="Verdana" w:hAnsi="Verdana"/>
        </w:rPr>
        <w:t xml:space="preserve"> από τα ακόλουθα 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θήματα που προσφέρονται στο Τμήμα Γερμανικής Γλώσσας Φιλολογίας από τον Τομέα Παιδαγωγικής του Τμήματος Φιλοσοφίας-Παιδαγωγικής-Ψυχολογίας και από το Τμήμα Ψυχολογίας του Ε.Κ.Π.Α.: </w:t>
      </w:r>
    </w:p>
    <w:p w:rsidR="00046E4C" w:rsidRPr="005A01D1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  <w:sz w:val="28"/>
        </w:rPr>
      </w:pPr>
      <w:r w:rsidRPr="00610969">
        <w:rPr>
          <w:rFonts w:ascii="Verdana" w:hAnsi="Verdana"/>
          <w:b/>
        </w:rPr>
        <w:t>Μαθήματα προσφερόμενα από το Τμήμα ΦΠΨ</w:t>
      </w:r>
      <w:r w:rsidRPr="00610969">
        <w:rPr>
          <w:rFonts w:ascii="Verdana" w:hAnsi="Verdana"/>
          <w:b/>
        </w:rPr>
        <w:br/>
      </w:r>
      <w:r w:rsidRPr="005A01D1">
        <w:rPr>
          <w:rFonts w:ascii="Verdana" w:hAnsi="Verdana"/>
        </w:rPr>
        <w:t>(4 ECTS ανά μάθημα)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>ΠΔ 01</w:t>
      </w:r>
      <w:r>
        <w:rPr>
          <w:rFonts w:ascii="Verdana" w:hAnsi="Verdana"/>
        </w:rPr>
        <w:t xml:space="preserve">: </w:t>
      </w:r>
      <w:r w:rsidR="00046E4C" w:rsidRPr="00610969">
        <w:rPr>
          <w:rFonts w:ascii="Verdana" w:hAnsi="Verdana"/>
        </w:rPr>
        <w:t>Εισαγωγή στην Παιδαγωγική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ΠΔ 09: </w:t>
      </w:r>
      <w:r w:rsidR="00046E4C" w:rsidRPr="00610969">
        <w:rPr>
          <w:rFonts w:ascii="Verdana" w:hAnsi="Verdana"/>
        </w:rPr>
        <w:t>Παιδαγωγική Ψυχολογία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ΠΔ 119: </w:t>
      </w:r>
      <w:r w:rsidR="00046E4C" w:rsidRPr="00610969">
        <w:rPr>
          <w:rFonts w:ascii="Verdana" w:hAnsi="Verdana"/>
        </w:rPr>
        <w:t xml:space="preserve">Κοινωνιολογία της Εκπαίδευσης </w:t>
      </w:r>
    </w:p>
    <w:p w:rsidR="00046E4C" w:rsidRPr="005A01D1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  <w:b/>
          <w:sz w:val="24"/>
        </w:rPr>
      </w:pPr>
      <w:r w:rsidRPr="00610969">
        <w:rPr>
          <w:rFonts w:ascii="Verdana" w:hAnsi="Verdana"/>
          <w:b/>
        </w:rPr>
        <w:t xml:space="preserve">Μαθήματα προσφερόμενα από το Τμήμα Ψυχολογίας </w:t>
      </w:r>
      <w:r w:rsidRPr="00610969">
        <w:rPr>
          <w:rFonts w:ascii="Verdana" w:hAnsi="Verdana"/>
          <w:b/>
        </w:rPr>
        <w:br/>
      </w:r>
      <w:r w:rsidRPr="005A01D1">
        <w:rPr>
          <w:rFonts w:ascii="Verdana" w:hAnsi="Verdana"/>
        </w:rPr>
        <w:t>(4 ECTS ανά μάθημα)</w:t>
      </w:r>
    </w:p>
    <w:p w:rsidR="00257E86" w:rsidRDefault="00257E86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ΨΧ 03: Εξελικτική Ψυχολογία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>ΨΧ 0</w:t>
      </w:r>
      <w:r>
        <w:rPr>
          <w:rFonts w:ascii="Verdana" w:hAnsi="Verdana"/>
        </w:rPr>
        <w:t>9</w:t>
      </w:r>
      <w:r w:rsidRPr="00D75370">
        <w:rPr>
          <w:rFonts w:ascii="Verdana" w:hAnsi="Verdana"/>
        </w:rPr>
        <w:t xml:space="preserve">: </w:t>
      </w:r>
      <w:r w:rsidR="00046E4C" w:rsidRPr="00610969">
        <w:rPr>
          <w:rFonts w:ascii="Verdana" w:hAnsi="Verdana"/>
        </w:rPr>
        <w:t>Σχολική Ψυχολογία: Σύνδεση Θεωρίας και Πράξης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ΨΧ 43: </w:t>
      </w:r>
      <w:r w:rsidR="00046E4C" w:rsidRPr="00610969">
        <w:rPr>
          <w:rFonts w:ascii="Verdana" w:hAnsi="Verdana"/>
        </w:rPr>
        <w:t xml:space="preserve">Ψυχολογία </w:t>
      </w:r>
      <w:r w:rsidR="008A7EA9">
        <w:rPr>
          <w:rFonts w:ascii="Verdana" w:hAnsi="Verdana"/>
        </w:rPr>
        <w:t xml:space="preserve">της </w:t>
      </w:r>
      <w:r w:rsidR="00046E4C" w:rsidRPr="00610969">
        <w:rPr>
          <w:rFonts w:ascii="Verdana" w:hAnsi="Verdana"/>
        </w:rPr>
        <w:t>Προσωπικότητας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45: </w:t>
      </w:r>
      <w:r w:rsidR="00046E4C" w:rsidRPr="00610969">
        <w:rPr>
          <w:rFonts w:ascii="Verdana" w:hAnsi="Verdana"/>
        </w:rPr>
        <w:t xml:space="preserve">Ψυχολογία των </w:t>
      </w:r>
      <w:r w:rsidR="008A7EA9">
        <w:rPr>
          <w:rFonts w:ascii="Verdana" w:hAnsi="Verdana"/>
        </w:rPr>
        <w:t>Κ</w:t>
      </w:r>
      <w:r w:rsidR="008A7EA9" w:rsidRPr="00610969">
        <w:rPr>
          <w:rFonts w:ascii="Verdana" w:hAnsi="Verdana"/>
        </w:rPr>
        <w:t>ινήτρων</w:t>
      </w:r>
    </w:p>
    <w:p w:rsidR="00046E4C" w:rsidRPr="00610969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10: </w:t>
      </w:r>
      <w:r w:rsidR="00046E4C" w:rsidRPr="00610969">
        <w:rPr>
          <w:rFonts w:ascii="Verdana" w:hAnsi="Verdana"/>
        </w:rPr>
        <w:t>Σχολική Ψυχολογία</w:t>
      </w:r>
    </w:p>
    <w:p w:rsidR="00046E4C" w:rsidRDefault="00D75370" w:rsidP="00D309C7">
      <w:pPr>
        <w:numPr>
          <w:ilvl w:val="0"/>
          <w:numId w:val="15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22: </w:t>
      </w:r>
      <w:r>
        <w:rPr>
          <w:rFonts w:ascii="Verdana" w:hAnsi="Verdana"/>
        </w:rPr>
        <w:t>Ε</w:t>
      </w:r>
      <w:r w:rsidR="00046E4C" w:rsidRPr="00610969">
        <w:rPr>
          <w:rFonts w:ascii="Verdana" w:hAnsi="Verdana"/>
        </w:rPr>
        <w:t xml:space="preserve">ξελικτική Ψυχοπαθολογία </w:t>
      </w:r>
    </w:p>
    <w:p w:rsidR="00046E4C" w:rsidRPr="00610969" w:rsidRDefault="00046E4C" w:rsidP="006A7FDC">
      <w:pPr>
        <w:shd w:val="clear" w:color="auto" w:fill="404040" w:themeFill="text1" w:themeFillTint="BF"/>
        <w:spacing w:before="360" w:after="240" w:line="360" w:lineRule="auto"/>
        <w:jc w:val="center"/>
        <w:rPr>
          <w:rFonts w:ascii="Verdana" w:hAnsi="Verdana"/>
          <w:b/>
          <w:color w:val="FFFFFF" w:themeColor="background1"/>
        </w:rPr>
      </w:pPr>
      <w:r w:rsidRPr="00610969">
        <w:rPr>
          <w:rFonts w:ascii="Verdana" w:hAnsi="Verdana"/>
          <w:b/>
          <w:color w:val="FFFFFF" w:themeColor="background1"/>
        </w:rPr>
        <w:t>2</w:t>
      </w:r>
      <w:r w:rsidR="00823760">
        <w:rPr>
          <w:rFonts w:ascii="Verdana" w:hAnsi="Verdana"/>
          <w:b/>
          <w:color w:val="FFFFFF" w:themeColor="background1"/>
        </w:rPr>
        <w:t>η</w:t>
      </w:r>
      <w:r w:rsidRPr="00610969">
        <w:rPr>
          <w:rFonts w:ascii="Verdana" w:hAnsi="Verdana"/>
          <w:b/>
          <w:color w:val="FFFFFF" w:themeColor="background1"/>
        </w:rPr>
        <w:t xml:space="preserve"> ΘΕΜΑΤΙΚΗ ΠΕΡΙΟΧΗ: Θέματα μάθησης και διδασκαλίας </w:t>
      </w:r>
    </w:p>
    <w:p w:rsidR="00046E4C" w:rsidRPr="00610969" w:rsidRDefault="00046E4C" w:rsidP="005A01D1">
      <w:pPr>
        <w:spacing w:before="120" w:after="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  <w:b/>
        </w:rPr>
        <w:t>Τουλάχιστον 1 μάθημα (Υποχρεωτική Επιλογή)</w:t>
      </w:r>
      <w:r w:rsidRPr="00610969">
        <w:rPr>
          <w:rFonts w:ascii="Verdana" w:hAnsi="Verdana"/>
        </w:rPr>
        <w:t xml:space="preserve"> από τα ακόλουθα 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>θήματα του Τμήματος ή/και από μαθήματα που προσφέρονται στο Τμήμα Γερμανικής Γλώσσας Φιλολογίας από τον Τομέα Παιδαγωγικής του Τμήμ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τος Φιλοσοφίας-Παιδαγωγικής-Ψυχολογίας και από το Τμήμα Ψυχολογίας του Ε.Κ.Π.Α.: </w:t>
      </w:r>
    </w:p>
    <w:p w:rsidR="00046E4C" w:rsidRPr="00610969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</w:rPr>
      </w:pPr>
      <w:r w:rsidRPr="00610969">
        <w:rPr>
          <w:rFonts w:ascii="Verdana" w:hAnsi="Verdana"/>
          <w:b/>
        </w:rPr>
        <w:t xml:space="preserve">Μαθήματα προσφερόμενα από το Τμήμα Γερμανικής Γ&amp;Φ </w:t>
      </w:r>
      <w:r w:rsidRPr="00610969">
        <w:rPr>
          <w:rFonts w:ascii="Verdana" w:hAnsi="Verdana"/>
          <w:b/>
        </w:rPr>
        <w:br/>
      </w:r>
      <w:r w:rsidRPr="00610969">
        <w:rPr>
          <w:rFonts w:ascii="Verdana" w:hAnsi="Verdana"/>
        </w:rPr>
        <w:t xml:space="preserve">(6 ECTS ανά μάθημα) 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DGB 41: Θεωρίες Γλωσσικής Κατάκτησης 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DGB 42: Κατάκτηση Δεύτερης / Ξένης Γλώσσας, Διγλωσσία 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DGB 47: Εκμάθηση Δεύτερης / Ξένης Γλώσσας 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50: Θεωρίες Μάθησης και Μέθοδοι Διδασκαλίας της Γερμανικής ως Ξένης Γλώσσας 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51: Ανάλυση και Σχεδιασμός Διδακτικού Υλικού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54: Νέες Τεχνολογίες στην Εκμάθηση της Ξένης Γλώσσας</w:t>
      </w:r>
    </w:p>
    <w:p w:rsidR="00046E4C" w:rsidRPr="00610969" w:rsidRDefault="00046E4C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56: Η Διδασκαλία της Γερμανικής στην Πρωτοβάθμια Εκπαίδευση</w:t>
      </w:r>
    </w:p>
    <w:p w:rsidR="00046E4C" w:rsidRPr="00610969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</w:rPr>
      </w:pPr>
      <w:r w:rsidRPr="00610969">
        <w:rPr>
          <w:rFonts w:ascii="Verdana" w:hAnsi="Verdana"/>
          <w:b/>
        </w:rPr>
        <w:t xml:space="preserve">Μαθήματα προσφερόμενα από το Τμήμα ΦΠΨ </w:t>
      </w:r>
      <w:r w:rsidRPr="00610969">
        <w:rPr>
          <w:rFonts w:ascii="Verdana" w:hAnsi="Verdana"/>
          <w:b/>
        </w:rPr>
        <w:br/>
      </w:r>
      <w:r w:rsidRPr="00610969">
        <w:rPr>
          <w:rFonts w:ascii="Verdana" w:hAnsi="Verdana"/>
        </w:rPr>
        <w:t xml:space="preserve">(4 ECTS ανά μάθημα)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ΠΔ 155: </w:t>
      </w:r>
      <w:r w:rsidR="00046E4C" w:rsidRPr="00610969">
        <w:rPr>
          <w:rFonts w:ascii="Verdana" w:hAnsi="Verdana"/>
        </w:rPr>
        <w:t xml:space="preserve">Αναλυτικά Προγράμματα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ΠΔ 112: </w:t>
      </w:r>
      <w:r w:rsidR="00046E4C" w:rsidRPr="00610969">
        <w:rPr>
          <w:rFonts w:ascii="Verdana" w:hAnsi="Verdana"/>
        </w:rPr>
        <w:t xml:space="preserve">Εκπαιδευτική Αξιολόγηση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ΠΔ 158: </w:t>
      </w:r>
      <w:r w:rsidR="00046E4C" w:rsidRPr="00610969">
        <w:rPr>
          <w:rFonts w:ascii="Verdana" w:hAnsi="Verdana"/>
        </w:rPr>
        <w:t xml:space="preserve">Ειδική Αγωγή </w:t>
      </w:r>
    </w:p>
    <w:p w:rsidR="00046E4C" w:rsidRPr="00610969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</w:rPr>
      </w:pPr>
      <w:r w:rsidRPr="00610969">
        <w:rPr>
          <w:rFonts w:ascii="Verdana" w:hAnsi="Verdana"/>
          <w:b/>
        </w:rPr>
        <w:t xml:space="preserve">Μαθήματα προσφερόμενα από το Τμήμα Ψυχολογίας </w:t>
      </w:r>
      <w:r w:rsidRPr="00610969">
        <w:rPr>
          <w:rFonts w:ascii="Verdana" w:hAnsi="Verdana"/>
          <w:b/>
        </w:rPr>
        <w:br/>
      </w:r>
      <w:r w:rsidRPr="00610969">
        <w:rPr>
          <w:rFonts w:ascii="Verdana" w:hAnsi="Verdana"/>
        </w:rPr>
        <w:t xml:space="preserve">(4 ECTS ανά μάθημα)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>ΨΧ 32:</w:t>
      </w:r>
      <w:r w:rsidR="00D309C7">
        <w:rPr>
          <w:rFonts w:ascii="Verdana" w:hAnsi="Verdana"/>
        </w:rPr>
        <w:t xml:space="preserve"> </w:t>
      </w:r>
      <w:r w:rsidR="00046E4C" w:rsidRPr="00610969">
        <w:rPr>
          <w:rFonts w:ascii="Verdana" w:hAnsi="Verdana"/>
        </w:rPr>
        <w:t>Γνωστική Ψυχολογία</w:t>
      </w:r>
      <w:r w:rsidR="003E5403">
        <w:rPr>
          <w:rFonts w:ascii="Verdana" w:hAnsi="Verdana"/>
        </w:rPr>
        <w:t xml:space="preserve"> Ι</w:t>
      </w:r>
      <w:r w:rsidR="00046E4C" w:rsidRPr="00610969">
        <w:rPr>
          <w:rFonts w:ascii="Verdana" w:hAnsi="Verdana"/>
        </w:rPr>
        <w:t xml:space="preserve">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31: </w:t>
      </w:r>
      <w:r w:rsidR="00046E4C" w:rsidRPr="00610969">
        <w:rPr>
          <w:rFonts w:ascii="Verdana" w:hAnsi="Verdana"/>
        </w:rPr>
        <w:t xml:space="preserve">Ψυχολογία Ατομικών Διαφορών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42: </w:t>
      </w:r>
      <w:r w:rsidR="00046E4C" w:rsidRPr="00610969">
        <w:rPr>
          <w:rFonts w:ascii="Verdana" w:hAnsi="Verdana"/>
        </w:rPr>
        <w:t xml:space="preserve">Ψυχοκοινωνικά </w:t>
      </w:r>
      <w:r w:rsidR="008A7EA9">
        <w:rPr>
          <w:rFonts w:ascii="Verdana" w:hAnsi="Verdana"/>
        </w:rPr>
        <w:t>Π</w:t>
      </w:r>
      <w:r w:rsidR="00046E4C" w:rsidRPr="00610969">
        <w:rPr>
          <w:rFonts w:ascii="Verdana" w:hAnsi="Verdana"/>
        </w:rPr>
        <w:t xml:space="preserve">ροβλήματα </w:t>
      </w:r>
      <w:r w:rsidR="008A7EA9">
        <w:rPr>
          <w:rFonts w:ascii="Verdana" w:hAnsi="Verdana"/>
        </w:rPr>
        <w:t>Σ</w:t>
      </w:r>
      <w:r w:rsidR="00046E4C" w:rsidRPr="00610969">
        <w:rPr>
          <w:rFonts w:ascii="Verdana" w:hAnsi="Verdana"/>
        </w:rPr>
        <w:t xml:space="preserve">χολικής και </w:t>
      </w:r>
      <w:r w:rsidR="008A7EA9">
        <w:rPr>
          <w:rFonts w:ascii="Verdana" w:hAnsi="Verdana"/>
        </w:rPr>
        <w:t>Ε</w:t>
      </w:r>
      <w:r w:rsidR="00046E4C" w:rsidRPr="00610969">
        <w:rPr>
          <w:rFonts w:ascii="Verdana" w:hAnsi="Verdana"/>
        </w:rPr>
        <w:t xml:space="preserve">φηβικής </w:t>
      </w:r>
      <w:r w:rsidR="008A7EA9">
        <w:rPr>
          <w:rFonts w:ascii="Verdana" w:hAnsi="Verdana"/>
        </w:rPr>
        <w:t>Η</w:t>
      </w:r>
      <w:r w:rsidR="00046E4C" w:rsidRPr="00610969">
        <w:rPr>
          <w:rFonts w:ascii="Verdana" w:hAnsi="Verdana"/>
        </w:rPr>
        <w:t xml:space="preserve">λικίας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lastRenderedPageBreak/>
        <w:t xml:space="preserve">ΨΧ 78: </w:t>
      </w:r>
      <w:r w:rsidR="00046E4C" w:rsidRPr="00610969">
        <w:rPr>
          <w:rFonts w:ascii="Verdana" w:hAnsi="Verdana"/>
        </w:rPr>
        <w:t xml:space="preserve">Εφαρμοσμένη Κοινωνική Ψυχολογία </w:t>
      </w:r>
    </w:p>
    <w:p w:rsidR="00046E4C" w:rsidRPr="00610969" w:rsidRDefault="00D75370" w:rsidP="00D309C7">
      <w:pPr>
        <w:numPr>
          <w:ilvl w:val="0"/>
          <w:numId w:val="16"/>
        </w:numPr>
        <w:spacing w:before="120" w:after="120"/>
        <w:ind w:left="470" w:hanging="357"/>
        <w:jc w:val="both"/>
        <w:rPr>
          <w:rFonts w:ascii="Verdana" w:hAnsi="Verdana"/>
        </w:rPr>
      </w:pPr>
      <w:r w:rsidRPr="00D75370">
        <w:rPr>
          <w:rFonts w:ascii="Verdana" w:hAnsi="Verdana"/>
        </w:rPr>
        <w:t xml:space="preserve">ΨΧ 56: </w:t>
      </w:r>
      <w:r w:rsidR="00046E4C" w:rsidRPr="00610969">
        <w:rPr>
          <w:rFonts w:ascii="Verdana" w:hAnsi="Verdana"/>
        </w:rPr>
        <w:t xml:space="preserve">Ψυχολογία </w:t>
      </w:r>
    </w:p>
    <w:p w:rsidR="00046E4C" w:rsidRPr="00610969" w:rsidRDefault="00EE3805" w:rsidP="003C5CBB">
      <w:pPr>
        <w:shd w:val="clear" w:color="auto" w:fill="404040" w:themeFill="text1" w:themeFillTint="BF"/>
        <w:spacing w:before="360" w:after="240" w:line="36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3η</w:t>
      </w:r>
      <w:r w:rsidR="00046E4C" w:rsidRPr="00610969">
        <w:rPr>
          <w:rFonts w:ascii="Verdana" w:hAnsi="Verdana"/>
          <w:b/>
          <w:color w:val="FFFFFF" w:themeColor="background1"/>
        </w:rPr>
        <w:t xml:space="preserve"> ΘΕΜΑΤΙΚΗ ΠΕΡΙΟΧΗ: Ειδική Διδακτική και Πρακτική Άσκηση </w:t>
      </w:r>
    </w:p>
    <w:p w:rsidR="00046E4C" w:rsidRPr="00610969" w:rsidRDefault="00046E4C" w:rsidP="006A7FDC">
      <w:pPr>
        <w:spacing w:before="120" w:after="240" w:line="360" w:lineRule="auto"/>
        <w:jc w:val="both"/>
        <w:rPr>
          <w:rFonts w:ascii="Verdana" w:hAnsi="Verdana"/>
        </w:rPr>
      </w:pPr>
      <w:r w:rsidRPr="00610969">
        <w:rPr>
          <w:rFonts w:ascii="Verdana" w:hAnsi="Verdana"/>
          <w:b/>
        </w:rPr>
        <w:t>Τουλάχιστον 4 μαθήματα</w:t>
      </w:r>
      <w:r w:rsidRPr="00610969">
        <w:rPr>
          <w:rFonts w:ascii="Verdana" w:hAnsi="Verdana"/>
        </w:rPr>
        <w:t xml:space="preserve"> (μεταξύ των οποίων </w:t>
      </w:r>
      <w:r w:rsidRPr="00610969">
        <w:rPr>
          <w:rFonts w:ascii="Verdana" w:hAnsi="Verdana"/>
          <w:b/>
        </w:rPr>
        <w:t>2 Υποχρεωτικά</w:t>
      </w:r>
      <w:r w:rsidRPr="00610969">
        <w:rPr>
          <w:rFonts w:ascii="Verdana" w:hAnsi="Verdana"/>
        </w:rPr>
        <w:t xml:space="preserve"> και </w:t>
      </w:r>
      <w:r w:rsidRPr="00610969">
        <w:rPr>
          <w:rFonts w:ascii="Verdana" w:hAnsi="Verdana"/>
          <w:b/>
        </w:rPr>
        <w:t>2 Υποχρεωτικής Επιλογής</w:t>
      </w:r>
      <w:r w:rsidRPr="00610969">
        <w:rPr>
          <w:rFonts w:ascii="Verdana" w:hAnsi="Verdana"/>
        </w:rPr>
        <w:t xml:space="preserve"> από τα ακόλουθα μαθήματα του Τμήματος Γε</w:t>
      </w:r>
      <w:r w:rsidRPr="00610969">
        <w:rPr>
          <w:rFonts w:ascii="Verdana" w:hAnsi="Verdana"/>
        </w:rPr>
        <w:t>ρ</w:t>
      </w:r>
      <w:r w:rsidRPr="00610969">
        <w:rPr>
          <w:rFonts w:ascii="Verdana" w:hAnsi="Verdana"/>
        </w:rPr>
        <w:t xml:space="preserve">μανικής Γλώσσας Φιλολογίας: </w:t>
      </w:r>
    </w:p>
    <w:p w:rsidR="00046E4C" w:rsidRPr="00610969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</w:rPr>
      </w:pPr>
      <w:r w:rsidRPr="00610969">
        <w:rPr>
          <w:rFonts w:ascii="Verdana" w:hAnsi="Verdana"/>
          <w:b/>
        </w:rPr>
        <w:t xml:space="preserve">Υποχρεωτικά μαθήματα </w:t>
      </w:r>
      <w:r w:rsidRPr="00610969">
        <w:rPr>
          <w:rFonts w:ascii="Verdana" w:hAnsi="Verdana"/>
          <w:b/>
        </w:rPr>
        <w:br/>
      </w:r>
      <w:r w:rsidRPr="00610969">
        <w:rPr>
          <w:rFonts w:ascii="Verdana" w:hAnsi="Verdana"/>
        </w:rPr>
        <w:t xml:space="preserve">(4 ECTS ανά μάθημα)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DGY 18: Εισαγωγή στη Διδ</w:t>
      </w:r>
      <w:r w:rsidR="006A7FDC">
        <w:rPr>
          <w:rFonts w:ascii="Verdana" w:hAnsi="Verdana"/>
        </w:rPr>
        <w:t xml:space="preserve">ακτική της Γερμανικής ως ξένης </w:t>
      </w:r>
      <w:r w:rsidRPr="00610969">
        <w:rPr>
          <w:rFonts w:ascii="Verdana" w:hAnsi="Verdana"/>
        </w:rPr>
        <w:t>γλώσσας Ι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DGY 19: Εισαγωγή στη Διδακτική της Γερμανικής ως ξένης γλώσσας </w:t>
      </w:r>
      <w:r w:rsidR="00EE3805">
        <w:rPr>
          <w:rFonts w:ascii="Verdana" w:hAnsi="Verdana"/>
        </w:rPr>
        <w:t>ΙΙ</w:t>
      </w:r>
    </w:p>
    <w:p w:rsidR="00046E4C" w:rsidRPr="00610969" w:rsidRDefault="00046E4C" w:rsidP="00521063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rPr>
          <w:rFonts w:ascii="Verdana" w:hAnsi="Verdana"/>
        </w:rPr>
      </w:pPr>
      <w:r w:rsidRPr="00610969">
        <w:rPr>
          <w:rFonts w:ascii="Verdana" w:hAnsi="Verdana"/>
          <w:b/>
        </w:rPr>
        <w:t xml:space="preserve">Μαθήματα υποχρεωτικής επιλογής </w:t>
      </w:r>
      <w:r w:rsidRPr="00610969">
        <w:rPr>
          <w:rFonts w:ascii="Verdana" w:hAnsi="Verdana"/>
          <w:b/>
        </w:rPr>
        <w:br/>
      </w:r>
      <w:r w:rsidRPr="00610969">
        <w:rPr>
          <w:rFonts w:ascii="Verdana" w:hAnsi="Verdana"/>
        </w:rPr>
        <w:t xml:space="preserve">(6 ECTS ανά μάθημα)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52: Σχεδιασμός και Οργάνωση Μαθημάτων / Πρακτική Άσκηση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>DGD 53: Αξιολόγηση Γλωσσικής Κατάρτισης και Διδασκαλίας / Πρακτ</w:t>
      </w:r>
      <w:r w:rsidRPr="00610969">
        <w:rPr>
          <w:rFonts w:ascii="Verdana" w:hAnsi="Verdana"/>
        </w:rPr>
        <w:t>ι</w:t>
      </w:r>
      <w:r w:rsidRPr="00610969">
        <w:rPr>
          <w:rFonts w:ascii="Verdana" w:hAnsi="Verdana"/>
        </w:rPr>
        <w:t xml:space="preserve">κή Άσκηση </w:t>
      </w:r>
    </w:p>
    <w:p w:rsidR="003C71A6" w:rsidRPr="003C71A6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A7FDC">
        <w:rPr>
          <w:rFonts w:ascii="Verdana" w:hAnsi="Verdana"/>
        </w:rPr>
        <w:t xml:space="preserve">DGD 55: Η Γερμανική ως Δεύτερη Ξένη Γλώσσα </w:t>
      </w:r>
    </w:p>
    <w:p w:rsidR="00046E4C" w:rsidRPr="006A7FDC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A7FDC">
        <w:rPr>
          <w:rFonts w:ascii="Verdana" w:hAnsi="Verdana"/>
        </w:rPr>
        <w:t xml:space="preserve">DGD 57: Ανάπτυξη Γραπτών Δραστηριοτήτων </w:t>
      </w:r>
      <w:r w:rsidR="003C5CBB">
        <w:rPr>
          <w:rFonts w:ascii="Verdana" w:hAnsi="Verdana"/>
        </w:rPr>
        <w:t>στη διδασκαλία</w:t>
      </w:r>
      <w:r w:rsidRPr="006A7FDC">
        <w:rPr>
          <w:rFonts w:ascii="Verdana" w:hAnsi="Verdana"/>
        </w:rPr>
        <w:t xml:space="preserve"> της Γε</w:t>
      </w:r>
      <w:r w:rsidRPr="006A7FDC">
        <w:rPr>
          <w:rFonts w:ascii="Verdana" w:hAnsi="Verdana"/>
        </w:rPr>
        <w:t>ρ</w:t>
      </w:r>
      <w:r w:rsidRPr="006A7FDC">
        <w:rPr>
          <w:rFonts w:ascii="Verdana" w:hAnsi="Verdana"/>
        </w:rPr>
        <w:t>μανικής ως Ξένης Γλώσσας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58: Ανάπτυξη Προφορικών Δραστηριοτήτων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Γερμανικής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59: Ανάπτυξη Δραστηριοτήτων Διαμεσολάβησης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Γερμανικής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60: Ανάπτυξη Γραμματικής Ικανότητας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</w:t>
      </w:r>
      <w:r w:rsidRPr="00610969">
        <w:rPr>
          <w:rFonts w:ascii="Verdana" w:hAnsi="Verdana"/>
        </w:rPr>
        <w:t>ρ</w:t>
      </w:r>
      <w:r w:rsidRPr="00610969">
        <w:rPr>
          <w:rFonts w:ascii="Verdana" w:hAnsi="Verdana"/>
        </w:rPr>
        <w:t xml:space="preserve">μανικής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61: Ανάπτυξη Λεξιλογικής Ικανότητας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Γερμ</w:t>
      </w:r>
      <w:r w:rsidRPr="00610969">
        <w:rPr>
          <w:rFonts w:ascii="Verdana" w:hAnsi="Verdana"/>
        </w:rPr>
        <w:t>α</w:t>
      </w:r>
      <w:r w:rsidRPr="00610969">
        <w:rPr>
          <w:rFonts w:ascii="Verdana" w:hAnsi="Verdana"/>
        </w:rPr>
        <w:t xml:space="preserve">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62: Ανάπτυξη Φωνολογικής Ικανότητας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</w:t>
      </w:r>
      <w:r w:rsidRPr="00610969">
        <w:rPr>
          <w:rFonts w:ascii="Verdana" w:hAnsi="Verdana"/>
        </w:rPr>
        <w:t>ρ</w:t>
      </w:r>
      <w:r w:rsidRPr="00610969">
        <w:rPr>
          <w:rFonts w:ascii="Verdana" w:hAnsi="Verdana"/>
        </w:rPr>
        <w:t xml:space="preserve">μανικής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63: Ανάπτυξη Πραγματολογικής Ικανότητας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Γερμανικής ως Ξένης Γλώσσας </w:t>
      </w:r>
    </w:p>
    <w:p w:rsidR="00046E4C" w:rsidRPr="00610969" w:rsidRDefault="00046E4C" w:rsidP="00D309C7">
      <w:pPr>
        <w:numPr>
          <w:ilvl w:val="0"/>
          <w:numId w:val="17"/>
        </w:numPr>
        <w:spacing w:before="120" w:after="120"/>
        <w:ind w:left="470" w:hanging="357"/>
        <w:jc w:val="both"/>
        <w:rPr>
          <w:rFonts w:ascii="Verdana" w:hAnsi="Verdana"/>
        </w:rPr>
      </w:pPr>
      <w:r w:rsidRPr="00610969">
        <w:rPr>
          <w:rFonts w:ascii="Verdana" w:hAnsi="Verdana"/>
        </w:rPr>
        <w:t xml:space="preserve">DGD 64: Ανάπτυξη Κοινωνιογλωσσικής Ικανότητας </w:t>
      </w:r>
      <w:r w:rsidR="003C5CBB">
        <w:rPr>
          <w:rFonts w:ascii="Verdana" w:hAnsi="Verdana"/>
        </w:rPr>
        <w:t>στη διδασκαλία</w:t>
      </w:r>
      <w:r w:rsidRPr="00610969">
        <w:rPr>
          <w:rFonts w:ascii="Verdana" w:hAnsi="Verdana"/>
        </w:rPr>
        <w:t xml:space="preserve"> της Γερμανικής ως Ξένης Γλώσσας. </w:t>
      </w:r>
    </w:p>
    <w:p w:rsidR="00823760" w:rsidRPr="00A0001E" w:rsidRDefault="00823760" w:rsidP="00434333">
      <w:pPr>
        <w:pStyle w:val="ListParagraph"/>
        <w:spacing w:before="120" w:after="120" w:line="360" w:lineRule="auto"/>
        <w:ind w:left="357"/>
        <w:jc w:val="both"/>
        <w:rPr>
          <w:rFonts w:ascii="Verdana" w:hAnsi="Verdana"/>
          <w:color w:val="FF0000"/>
        </w:rPr>
      </w:pPr>
    </w:p>
    <w:sectPr w:rsidR="00823760" w:rsidRPr="00A0001E" w:rsidSect="009F35DE">
      <w:footerReference w:type="default" r:id="rId9"/>
      <w:pgSz w:w="11906" w:h="17338"/>
      <w:pgMar w:top="1440" w:right="1800" w:bottom="1440" w:left="1800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C6" w:rsidRDefault="00AD0EC6" w:rsidP="003D7B33">
      <w:pPr>
        <w:spacing w:after="0" w:line="240" w:lineRule="auto"/>
      </w:pPr>
      <w:r>
        <w:separator/>
      </w:r>
    </w:p>
  </w:endnote>
  <w:endnote w:type="continuationSeparator" w:id="0">
    <w:p w:rsidR="00AD0EC6" w:rsidRDefault="00AD0EC6" w:rsidP="003D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3C" w:rsidRPr="00454A16" w:rsidRDefault="002E1147" w:rsidP="00454A16">
    <w:pPr>
      <w:pStyle w:val="Footer"/>
      <w:spacing w:before="240" w:after="0"/>
      <w:jc w:val="center"/>
      <w:rPr>
        <w:rFonts w:ascii="Verdana" w:hAnsi="Verdana"/>
        <w:lang w:val="en-US"/>
      </w:rPr>
    </w:pPr>
    <w:r w:rsidRPr="005F2DC1">
      <w:rPr>
        <w:rFonts w:ascii="Verdana" w:hAnsi="Verdana"/>
      </w:rPr>
      <w:fldChar w:fldCharType="begin"/>
    </w:r>
    <w:r w:rsidR="00661B3C" w:rsidRPr="005F2DC1">
      <w:rPr>
        <w:rFonts w:ascii="Verdana" w:hAnsi="Verdana"/>
      </w:rPr>
      <w:instrText>PAGE   \* MERGEFORMAT</w:instrText>
    </w:r>
    <w:r w:rsidRPr="005F2DC1">
      <w:rPr>
        <w:rFonts w:ascii="Verdana" w:hAnsi="Verdana"/>
      </w:rPr>
      <w:fldChar w:fldCharType="separate"/>
    </w:r>
    <w:r w:rsidR="00680EF5">
      <w:rPr>
        <w:rFonts w:ascii="Verdana" w:hAnsi="Verdana"/>
        <w:noProof/>
      </w:rPr>
      <w:t>10</w:t>
    </w:r>
    <w:r w:rsidRPr="005F2DC1">
      <w:rPr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C6" w:rsidRDefault="00AD0EC6" w:rsidP="003D7B33">
      <w:pPr>
        <w:spacing w:after="0" w:line="240" w:lineRule="auto"/>
      </w:pPr>
      <w:r>
        <w:separator/>
      </w:r>
    </w:p>
  </w:footnote>
  <w:footnote w:type="continuationSeparator" w:id="0">
    <w:p w:rsidR="00AD0EC6" w:rsidRDefault="00AD0EC6" w:rsidP="003D7B33">
      <w:pPr>
        <w:spacing w:after="0" w:line="240" w:lineRule="auto"/>
      </w:pPr>
      <w:r>
        <w:continuationSeparator/>
      </w:r>
    </w:p>
  </w:footnote>
  <w:footnote w:id="1">
    <w:p w:rsidR="00661B3C" w:rsidRPr="002E0C8B" w:rsidRDefault="00661B3C" w:rsidP="00A94DA2">
      <w:pPr>
        <w:pStyle w:val="FootnoteText"/>
        <w:spacing w:after="120" w:line="240" w:lineRule="auto"/>
        <w:ind w:left="284" w:hanging="284"/>
        <w:jc w:val="both"/>
      </w:pPr>
      <w:r w:rsidRPr="00180CA3">
        <w:rPr>
          <w:rStyle w:val="FootnoteReference"/>
          <w:vertAlign w:val="baseline"/>
        </w:rPr>
        <w:footnoteRef/>
      </w:r>
      <w:r w:rsidRPr="00180CA3">
        <w:tab/>
      </w:r>
      <w:r w:rsidRPr="002E0C8B">
        <w:rPr>
          <w:rFonts w:ascii="Verdana" w:hAnsi="Verdana"/>
          <w:sz w:val="18"/>
          <w:szCs w:val="22"/>
        </w:rPr>
        <w:t>Για τα μαθήματα Τύπου Β δεν προτείνεται Ενδεικτικό Πρόγραμμα, αφού το πρόγραμμα διαμορφώνεται αποκλειστικά βάσει των (υποχρεωτικών και ελεύθερων) επιλογών των φοιτητών.</w:t>
      </w:r>
    </w:p>
  </w:footnote>
  <w:footnote w:id="2">
    <w:p w:rsidR="00661B3C" w:rsidRPr="00661B3C" w:rsidRDefault="00661B3C" w:rsidP="002738CE">
      <w:pPr>
        <w:pStyle w:val="FootnoteText"/>
        <w:spacing w:after="120" w:line="240" w:lineRule="auto"/>
        <w:ind w:left="284" w:hanging="284"/>
        <w:jc w:val="both"/>
        <w:rPr>
          <w:rStyle w:val="FootnoteReference"/>
          <w:rFonts w:ascii="Verdana" w:hAnsi="Verdana"/>
          <w:sz w:val="18"/>
          <w:vertAlign w:val="baseline"/>
        </w:rPr>
      </w:pPr>
      <w:r w:rsidRPr="00661B3C">
        <w:rPr>
          <w:rStyle w:val="FootnoteReference"/>
          <w:rFonts w:ascii="Verdana" w:hAnsi="Verdana"/>
          <w:sz w:val="18"/>
          <w:vertAlign w:val="baseline"/>
        </w:rPr>
        <w:footnoteRef/>
      </w:r>
      <w:r w:rsidRPr="00661B3C">
        <w:rPr>
          <w:rStyle w:val="FootnoteReference"/>
          <w:rFonts w:ascii="Verdana" w:hAnsi="Verdana"/>
          <w:sz w:val="18"/>
          <w:vertAlign w:val="baseline"/>
        </w:rPr>
        <w:t xml:space="preserve"> </w:t>
      </w:r>
      <w:r w:rsidRPr="00661B3C">
        <w:rPr>
          <w:rFonts w:ascii="Verdana" w:hAnsi="Verdana"/>
          <w:sz w:val="18"/>
          <w:lang w:val="en-US"/>
        </w:rPr>
        <w:tab/>
      </w:r>
      <w:r w:rsidRPr="00661B3C">
        <w:rPr>
          <w:rStyle w:val="FootnoteReference"/>
          <w:rFonts w:ascii="Verdana" w:hAnsi="Verdana"/>
          <w:sz w:val="18"/>
          <w:vertAlign w:val="baseline"/>
        </w:rPr>
        <w:t>Τα 10 ECTS των Πρακτικών Γλωσσικών Ασκήσεων κατοχυρώνονται μετά την επιτυχή εξέταση και στα τέσσερα μαθήματα.</w:t>
      </w:r>
    </w:p>
  </w:footnote>
  <w:footnote w:id="3">
    <w:p w:rsidR="00661B3C" w:rsidRPr="00180CA3" w:rsidRDefault="00661B3C" w:rsidP="00C32481">
      <w:pPr>
        <w:pStyle w:val="FootnoteText"/>
        <w:ind w:left="284" w:hanging="284"/>
        <w:rPr>
          <w:sz w:val="16"/>
        </w:rPr>
      </w:pPr>
      <w:r w:rsidRPr="00180CA3">
        <w:rPr>
          <w:rStyle w:val="FootnoteReference"/>
          <w:rFonts w:ascii="Verdana" w:hAnsi="Verdana"/>
          <w:sz w:val="18"/>
          <w:vertAlign w:val="baseline"/>
        </w:rPr>
        <w:footnoteRef/>
      </w:r>
      <w:r>
        <w:tab/>
      </w:r>
      <w:r w:rsidRPr="00180CA3">
        <w:rPr>
          <w:rFonts w:ascii="Verdana" w:hAnsi="Verdana"/>
          <w:sz w:val="18"/>
          <w:szCs w:val="22"/>
        </w:rPr>
        <w:t>Για την απόδοση βιβλιογραφικών ή άλλων πηγών στις σεμιναριακές εργασίες ισχύει ό,τι ισχύει και για την πτυχιακή εργασία (βλ. παραπάνω).</w:t>
      </w:r>
    </w:p>
  </w:footnote>
  <w:footnote w:id="4">
    <w:p w:rsidR="00661B3C" w:rsidRPr="00434333" w:rsidRDefault="00661B3C" w:rsidP="00434333">
      <w:pPr>
        <w:pStyle w:val="FootnoteText"/>
        <w:ind w:left="284" w:hanging="284"/>
        <w:rPr>
          <w:rStyle w:val="FootnoteReference"/>
          <w:rFonts w:ascii="Verdana" w:hAnsi="Verdana"/>
          <w:sz w:val="18"/>
          <w:vertAlign w:val="baseline"/>
        </w:rPr>
      </w:pPr>
      <w:r w:rsidRPr="00434333">
        <w:rPr>
          <w:rStyle w:val="FootnoteReference"/>
          <w:rFonts w:ascii="Verdana" w:hAnsi="Verdana"/>
          <w:sz w:val="18"/>
          <w:vertAlign w:val="baseline"/>
        </w:rPr>
        <w:footnoteRef/>
      </w:r>
      <w:r w:rsidRPr="00434333">
        <w:rPr>
          <w:rStyle w:val="FootnoteReference"/>
          <w:rFonts w:ascii="Verdana" w:hAnsi="Verdana"/>
          <w:sz w:val="18"/>
          <w:vertAlign w:val="baseline"/>
        </w:rPr>
        <w:t xml:space="preserve"> </w:t>
      </w:r>
      <w:r w:rsidR="00434333">
        <w:rPr>
          <w:rFonts w:ascii="Verdana" w:hAnsi="Verdana"/>
          <w:sz w:val="18"/>
        </w:rPr>
        <w:tab/>
      </w:r>
      <w:r w:rsidRPr="00434333">
        <w:rPr>
          <w:rStyle w:val="FootnoteReference"/>
          <w:sz w:val="18"/>
          <w:vertAlign w:val="baseline"/>
        </w:rPr>
        <w:t>Η Πιστοποίηση της Παιδαγωγικής και Διδακτικής Επάρκειας ανταποκρίνεται στις απαιτήσεις του νόμου 3848/2010, άρθρο 2, περίπτωση β’ (ΦΕΚ Α΄ 71), όπως συμπληρώθηκε και τροποποιήθηκε από τον νόμο 4186/2013, άρθρο 36, παράγραφος 22, περιπτώσεις β’ και ε’ (ΦΕΚ Α’ 193</w:t>
      </w:r>
      <w:r w:rsidRPr="00434333">
        <w:rPr>
          <w:rStyle w:val="FootnoteReference"/>
          <w:rFonts w:ascii="Verdana" w:hAnsi="Verdana"/>
          <w:sz w:val="18"/>
          <w:vertAlign w:val="baseline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37A"/>
    <w:multiLevelType w:val="hybridMultilevel"/>
    <w:tmpl w:val="580E9F76"/>
    <w:lvl w:ilvl="0" w:tplc="8AD461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733"/>
    <w:multiLevelType w:val="hybridMultilevel"/>
    <w:tmpl w:val="9FBC9A90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1DD5"/>
    <w:multiLevelType w:val="hybridMultilevel"/>
    <w:tmpl w:val="9B86DD90"/>
    <w:lvl w:ilvl="0" w:tplc="D34E01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6002"/>
    <w:multiLevelType w:val="hybridMultilevel"/>
    <w:tmpl w:val="FB3E395C"/>
    <w:lvl w:ilvl="0" w:tplc="B68820A8">
      <w:start w:val="1"/>
      <w:numFmt w:val="decimal"/>
      <w:lvlText w:val="%1."/>
      <w:lvlJc w:val="center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396C"/>
    <w:multiLevelType w:val="hybridMultilevel"/>
    <w:tmpl w:val="5DB439EE"/>
    <w:lvl w:ilvl="0" w:tplc="4BB4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4A5A"/>
    <w:multiLevelType w:val="hybridMultilevel"/>
    <w:tmpl w:val="621C4CA2"/>
    <w:lvl w:ilvl="0" w:tplc="7EFE6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7691C"/>
    <w:multiLevelType w:val="hybridMultilevel"/>
    <w:tmpl w:val="6844684E"/>
    <w:lvl w:ilvl="0" w:tplc="D8EA4BA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szCs w:val="22"/>
        <w:vertAlign w:val="baseline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F026C"/>
    <w:multiLevelType w:val="hybridMultilevel"/>
    <w:tmpl w:val="444CA7B0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C9D"/>
    <w:multiLevelType w:val="hybridMultilevel"/>
    <w:tmpl w:val="3C0AC256"/>
    <w:lvl w:ilvl="0" w:tplc="4BB4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02BA04">
      <w:start w:val="6"/>
      <w:numFmt w:val="bullet"/>
      <w:lvlText w:val="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D2E0F"/>
    <w:multiLevelType w:val="hybridMultilevel"/>
    <w:tmpl w:val="4CE45F4E"/>
    <w:lvl w:ilvl="0" w:tplc="58AAC59A">
      <w:start w:val="1"/>
      <w:numFmt w:val="decimal"/>
      <w:lvlText w:val="%1."/>
      <w:lvlJc w:val="center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60E37"/>
    <w:multiLevelType w:val="hybridMultilevel"/>
    <w:tmpl w:val="21AC25A0"/>
    <w:lvl w:ilvl="0" w:tplc="7562C5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2172C"/>
    <w:multiLevelType w:val="hybridMultilevel"/>
    <w:tmpl w:val="75026726"/>
    <w:lvl w:ilvl="0" w:tplc="D42EA134">
      <w:start w:val="1"/>
      <w:numFmt w:val="decimal"/>
      <w:lvlText w:val="%1."/>
      <w:lvlJc w:val="center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76220"/>
    <w:multiLevelType w:val="hybridMultilevel"/>
    <w:tmpl w:val="77569092"/>
    <w:lvl w:ilvl="0" w:tplc="DBCE23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381537"/>
    <w:multiLevelType w:val="hybridMultilevel"/>
    <w:tmpl w:val="4858AC34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E6A1E"/>
    <w:multiLevelType w:val="hybridMultilevel"/>
    <w:tmpl w:val="8FBCB164"/>
    <w:lvl w:ilvl="0" w:tplc="4BB4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074D0"/>
    <w:multiLevelType w:val="hybridMultilevel"/>
    <w:tmpl w:val="456EF05C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776BB"/>
    <w:multiLevelType w:val="hybridMultilevel"/>
    <w:tmpl w:val="7BA0375C"/>
    <w:lvl w:ilvl="0" w:tplc="AEC4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11F2B"/>
    <w:multiLevelType w:val="hybridMultilevel"/>
    <w:tmpl w:val="D47AC3F0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D1FF7"/>
    <w:multiLevelType w:val="hybridMultilevel"/>
    <w:tmpl w:val="F7F4D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A734B"/>
    <w:multiLevelType w:val="hybridMultilevel"/>
    <w:tmpl w:val="B6CA01EA"/>
    <w:lvl w:ilvl="0" w:tplc="AA646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37BA1"/>
    <w:multiLevelType w:val="hybridMultilevel"/>
    <w:tmpl w:val="48B47D7E"/>
    <w:lvl w:ilvl="0" w:tplc="7C0EA7F4">
      <w:start w:val="1"/>
      <w:numFmt w:val="decimal"/>
      <w:lvlText w:val="%1."/>
      <w:lvlJc w:val="center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C3627"/>
    <w:multiLevelType w:val="hybridMultilevel"/>
    <w:tmpl w:val="8B42CAB2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6436E"/>
    <w:multiLevelType w:val="hybridMultilevel"/>
    <w:tmpl w:val="19645826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52466"/>
    <w:multiLevelType w:val="hybridMultilevel"/>
    <w:tmpl w:val="3AC64D10"/>
    <w:lvl w:ilvl="0" w:tplc="95206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57898"/>
    <w:multiLevelType w:val="hybridMultilevel"/>
    <w:tmpl w:val="41E6A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7"/>
  </w:num>
  <w:num w:numId="5">
    <w:abstractNumId w:val="17"/>
  </w:num>
  <w:num w:numId="6">
    <w:abstractNumId w:val="23"/>
  </w:num>
  <w:num w:numId="7">
    <w:abstractNumId w:val="13"/>
  </w:num>
  <w:num w:numId="8">
    <w:abstractNumId w:val="1"/>
  </w:num>
  <w:num w:numId="9">
    <w:abstractNumId w:val="22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24"/>
  </w:num>
  <w:num w:numId="15">
    <w:abstractNumId w:val="10"/>
  </w:num>
  <w:num w:numId="16">
    <w:abstractNumId w:val="5"/>
  </w:num>
  <w:num w:numId="17">
    <w:abstractNumId w:val="0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79EB"/>
    <w:rsid w:val="0000104C"/>
    <w:rsid w:val="00002FC6"/>
    <w:rsid w:val="00003C9D"/>
    <w:rsid w:val="00004545"/>
    <w:rsid w:val="0000641D"/>
    <w:rsid w:val="00010584"/>
    <w:rsid w:val="00012C35"/>
    <w:rsid w:val="00014EC0"/>
    <w:rsid w:val="00015FC9"/>
    <w:rsid w:val="00024895"/>
    <w:rsid w:val="00025C97"/>
    <w:rsid w:val="00027F8E"/>
    <w:rsid w:val="00046E4C"/>
    <w:rsid w:val="00071991"/>
    <w:rsid w:val="000779EB"/>
    <w:rsid w:val="000C13F3"/>
    <w:rsid w:val="000C1D12"/>
    <w:rsid w:val="000C49DC"/>
    <w:rsid w:val="000C5ECE"/>
    <w:rsid w:val="000F0B60"/>
    <w:rsid w:val="00111260"/>
    <w:rsid w:val="0012747F"/>
    <w:rsid w:val="00143E56"/>
    <w:rsid w:val="0015064F"/>
    <w:rsid w:val="00157FE6"/>
    <w:rsid w:val="001636CC"/>
    <w:rsid w:val="00173AC4"/>
    <w:rsid w:val="001753E4"/>
    <w:rsid w:val="00180CA3"/>
    <w:rsid w:val="001835B7"/>
    <w:rsid w:val="00190C6F"/>
    <w:rsid w:val="001D5941"/>
    <w:rsid w:val="001E364A"/>
    <w:rsid w:val="001F26A3"/>
    <w:rsid w:val="001F4103"/>
    <w:rsid w:val="00207A71"/>
    <w:rsid w:val="00210ED7"/>
    <w:rsid w:val="00213117"/>
    <w:rsid w:val="00226E3C"/>
    <w:rsid w:val="002411A5"/>
    <w:rsid w:val="00247269"/>
    <w:rsid w:val="00257E86"/>
    <w:rsid w:val="002738CE"/>
    <w:rsid w:val="00281AA8"/>
    <w:rsid w:val="0028446B"/>
    <w:rsid w:val="00284663"/>
    <w:rsid w:val="002869E2"/>
    <w:rsid w:val="00296ECB"/>
    <w:rsid w:val="002B788F"/>
    <w:rsid w:val="002E0C8B"/>
    <w:rsid w:val="002E1147"/>
    <w:rsid w:val="002E556A"/>
    <w:rsid w:val="00303F30"/>
    <w:rsid w:val="00354C38"/>
    <w:rsid w:val="00356393"/>
    <w:rsid w:val="003637DC"/>
    <w:rsid w:val="003644E9"/>
    <w:rsid w:val="003726B9"/>
    <w:rsid w:val="00383B2A"/>
    <w:rsid w:val="00385A03"/>
    <w:rsid w:val="00394100"/>
    <w:rsid w:val="003B1924"/>
    <w:rsid w:val="003C015F"/>
    <w:rsid w:val="003C5CBB"/>
    <w:rsid w:val="003C71A6"/>
    <w:rsid w:val="003D47A9"/>
    <w:rsid w:val="003D7B33"/>
    <w:rsid w:val="003E1ADE"/>
    <w:rsid w:val="003E5403"/>
    <w:rsid w:val="0040621F"/>
    <w:rsid w:val="00420B74"/>
    <w:rsid w:val="00434333"/>
    <w:rsid w:val="00454A16"/>
    <w:rsid w:val="00456042"/>
    <w:rsid w:val="00457362"/>
    <w:rsid w:val="00457853"/>
    <w:rsid w:val="004641E5"/>
    <w:rsid w:val="00484E62"/>
    <w:rsid w:val="00487E28"/>
    <w:rsid w:val="00490295"/>
    <w:rsid w:val="004B3D19"/>
    <w:rsid w:val="004D34E4"/>
    <w:rsid w:val="004D5B55"/>
    <w:rsid w:val="004F52BF"/>
    <w:rsid w:val="0050513C"/>
    <w:rsid w:val="00514A62"/>
    <w:rsid w:val="00521063"/>
    <w:rsid w:val="00537A8B"/>
    <w:rsid w:val="00541CCC"/>
    <w:rsid w:val="00542BE3"/>
    <w:rsid w:val="005433DF"/>
    <w:rsid w:val="0054405C"/>
    <w:rsid w:val="00552626"/>
    <w:rsid w:val="00552BC5"/>
    <w:rsid w:val="0057598E"/>
    <w:rsid w:val="00581A25"/>
    <w:rsid w:val="005926EF"/>
    <w:rsid w:val="005A01D1"/>
    <w:rsid w:val="005A7652"/>
    <w:rsid w:val="005B4285"/>
    <w:rsid w:val="005C27C8"/>
    <w:rsid w:val="005C75A1"/>
    <w:rsid w:val="005E2105"/>
    <w:rsid w:val="005F2DC1"/>
    <w:rsid w:val="00610969"/>
    <w:rsid w:val="00624D69"/>
    <w:rsid w:val="006348CD"/>
    <w:rsid w:val="00657421"/>
    <w:rsid w:val="00661B3C"/>
    <w:rsid w:val="00673DA1"/>
    <w:rsid w:val="00680EF5"/>
    <w:rsid w:val="00694A12"/>
    <w:rsid w:val="006A7FDC"/>
    <w:rsid w:val="006B3A59"/>
    <w:rsid w:val="006C3B1F"/>
    <w:rsid w:val="006D36DD"/>
    <w:rsid w:val="006D524C"/>
    <w:rsid w:val="006E5096"/>
    <w:rsid w:val="00701AC5"/>
    <w:rsid w:val="00723322"/>
    <w:rsid w:val="00757AF8"/>
    <w:rsid w:val="00760978"/>
    <w:rsid w:val="00765958"/>
    <w:rsid w:val="00776FA9"/>
    <w:rsid w:val="007A76C6"/>
    <w:rsid w:val="007C20FC"/>
    <w:rsid w:val="00800687"/>
    <w:rsid w:val="008021AA"/>
    <w:rsid w:val="008041E7"/>
    <w:rsid w:val="0081741E"/>
    <w:rsid w:val="00823760"/>
    <w:rsid w:val="00830B94"/>
    <w:rsid w:val="00831ACC"/>
    <w:rsid w:val="00845F34"/>
    <w:rsid w:val="00866F88"/>
    <w:rsid w:val="00870A2B"/>
    <w:rsid w:val="008A7EA9"/>
    <w:rsid w:val="008B6AF3"/>
    <w:rsid w:val="008C21B5"/>
    <w:rsid w:val="008D2551"/>
    <w:rsid w:val="00924867"/>
    <w:rsid w:val="0093318E"/>
    <w:rsid w:val="00936DE8"/>
    <w:rsid w:val="00950489"/>
    <w:rsid w:val="00994350"/>
    <w:rsid w:val="009B46A0"/>
    <w:rsid w:val="009E24C9"/>
    <w:rsid w:val="009F35DE"/>
    <w:rsid w:val="009F3652"/>
    <w:rsid w:val="00A0001E"/>
    <w:rsid w:val="00A11CD9"/>
    <w:rsid w:val="00A30CA6"/>
    <w:rsid w:val="00A4387C"/>
    <w:rsid w:val="00A64514"/>
    <w:rsid w:val="00A660CF"/>
    <w:rsid w:val="00A94DA2"/>
    <w:rsid w:val="00A95E5B"/>
    <w:rsid w:val="00AA07A6"/>
    <w:rsid w:val="00AA4491"/>
    <w:rsid w:val="00AA597B"/>
    <w:rsid w:val="00AB30B7"/>
    <w:rsid w:val="00AC6B60"/>
    <w:rsid w:val="00AD0EC6"/>
    <w:rsid w:val="00AE111B"/>
    <w:rsid w:val="00B02C1A"/>
    <w:rsid w:val="00B238D3"/>
    <w:rsid w:val="00B31AFC"/>
    <w:rsid w:val="00B4362A"/>
    <w:rsid w:val="00B47C41"/>
    <w:rsid w:val="00B53283"/>
    <w:rsid w:val="00B70C16"/>
    <w:rsid w:val="00B75458"/>
    <w:rsid w:val="00B77061"/>
    <w:rsid w:val="00BB7E6B"/>
    <w:rsid w:val="00BD4524"/>
    <w:rsid w:val="00BE7FEB"/>
    <w:rsid w:val="00C065FC"/>
    <w:rsid w:val="00C11B4A"/>
    <w:rsid w:val="00C11DCD"/>
    <w:rsid w:val="00C32481"/>
    <w:rsid w:val="00C5151B"/>
    <w:rsid w:val="00C91C37"/>
    <w:rsid w:val="00C96D61"/>
    <w:rsid w:val="00CD14D9"/>
    <w:rsid w:val="00CD5F0A"/>
    <w:rsid w:val="00CE59FB"/>
    <w:rsid w:val="00CF1AA1"/>
    <w:rsid w:val="00D21544"/>
    <w:rsid w:val="00D309C7"/>
    <w:rsid w:val="00D37F48"/>
    <w:rsid w:val="00D43753"/>
    <w:rsid w:val="00D462F9"/>
    <w:rsid w:val="00D54637"/>
    <w:rsid w:val="00D75370"/>
    <w:rsid w:val="00D877AE"/>
    <w:rsid w:val="00D960A3"/>
    <w:rsid w:val="00DC3FD9"/>
    <w:rsid w:val="00DF77C6"/>
    <w:rsid w:val="00E04F2D"/>
    <w:rsid w:val="00E10565"/>
    <w:rsid w:val="00E10BBE"/>
    <w:rsid w:val="00E51081"/>
    <w:rsid w:val="00E56FF0"/>
    <w:rsid w:val="00E73720"/>
    <w:rsid w:val="00E75F63"/>
    <w:rsid w:val="00E83E70"/>
    <w:rsid w:val="00E9786A"/>
    <w:rsid w:val="00EA1417"/>
    <w:rsid w:val="00EB6CFF"/>
    <w:rsid w:val="00EC2633"/>
    <w:rsid w:val="00ED5F62"/>
    <w:rsid w:val="00EE046D"/>
    <w:rsid w:val="00EE3805"/>
    <w:rsid w:val="00F01167"/>
    <w:rsid w:val="00F014DD"/>
    <w:rsid w:val="00F102E9"/>
    <w:rsid w:val="00F27730"/>
    <w:rsid w:val="00F30588"/>
    <w:rsid w:val="00F47BEC"/>
    <w:rsid w:val="00F53FF8"/>
    <w:rsid w:val="00F83C21"/>
    <w:rsid w:val="00F948D1"/>
    <w:rsid w:val="00FC1804"/>
    <w:rsid w:val="00FE007F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87C"/>
    <w:pPr>
      <w:keepNext/>
      <w:spacing w:before="360" w:after="120" w:line="360" w:lineRule="auto"/>
      <w:jc w:val="center"/>
      <w:outlineLvl w:val="1"/>
    </w:pPr>
    <w:rPr>
      <w:rFonts w:ascii="Verdana" w:hAnsi="Verdana" w:cs="Arial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B7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077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B33"/>
  </w:style>
  <w:style w:type="paragraph" w:styleId="Footer">
    <w:name w:val="footer"/>
    <w:basedOn w:val="Normal"/>
    <w:link w:val="FooterChar"/>
    <w:uiPriority w:val="99"/>
    <w:unhideWhenUsed/>
    <w:rsid w:val="003D7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B33"/>
  </w:style>
  <w:style w:type="paragraph" w:styleId="BalloonText">
    <w:name w:val="Balloon Text"/>
    <w:basedOn w:val="Normal"/>
    <w:link w:val="BalloonTextChar"/>
    <w:uiPriority w:val="99"/>
    <w:semiHidden/>
    <w:unhideWhenUsed/>
    <w:rsid w:val="0081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552B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2BC5"/>
  </w:style>
  <w:style w:type="character" w:styleId="FootnoteReference">
    <w:name w:val="footnote reference"/>
    <w:basedOn w:val="DefaultParagraphFont"/>
    <w:semiHidden/>
    <w:unhideWhenUsed/>
    <w:rsid w:val="00552BC5"/>
    <w:rPr>
      <w:vertAlign w:val="superscript"/>
    </w:rPr>
  </w:style>
  <w:style w:type="paragraph" w:styleId="ListParagraph">
    <w:name w:val="List Paragraph"/>
    <w:basedOn w:val="Normal"/>
    <w:qFormat/>
    <w:rsid w:val="00454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2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4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4387C"/>
    <w:rPr>
      <w:rFonts w:ascii="Verdana" w:hAnsi="Verdana" w:cs="Arial"/>
      <w:b/>
      <w:bCs/>
      <w:iCs/>
      <w:sz w:val="28"/>
      <w:szCs w:val="28"/>
      <w:lang w:val="en-US"/>
    </w:rPr>
  </w:style>
  <w:style w:type="table" w:styleId="LightList-Accent1">
    <w:name w:val="Light List Accent 1"/>
    <w:basedOn w:val="TableNormal"/>
    <w:uiPriority w:val="61"/>
    <w:rsid w:val="00A4387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71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199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1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98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598E"/>
    <w:pPr>
      <w:tabs>
        <w:tab w:val="right" w:leader="dot" w:pos="8979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unhideWhenUsed/>
    <w:rsid w:val="005759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598E"/>
    <w:pPr>
      <w:spacing w:after="100"/>
      <w:ind w:left="440"/>
    </w:pPr>
  </w:style>
  <w:style w:type="table" w:customStyle="1" w:styleId="1">
    <w:name w:val="Στυλ1"/>
    <w:basedOn w:val="TableNormal"/>
    <w:uiPriority w:val="99"/>
    <w:rsid w:val="002869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8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0454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3E7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1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4387C"/>
    <w:pPr>
      <w:keepNext/>
      <w:spacing w:before="360" w:after="120" w:line="360" w:lineRule="auto"/>
      <w:jc w:val="center"/>
      <w:outlineLvl w:val="1"/>
    </w:pPr>
    <w:rPr>
      <w:rFonts w:ascii="Verdana" w:hAnsi="Verdana" w:cs="Arial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1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1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0779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7B33"/>
    <w:pPr>
      <w:tabs>
        <w:tab w:val="center" w:pos="4153"/>
        <w:tab w:val="right" w:pos="8306"/>
      </w:tabs>
    </w:pPr>
  </w:style>
  <w:style w:type="character" w:customStyle="1" w:styleId="KopfzeileZchn">
    <w:name w:val="Κεφαλίδα Char"/>
    <w:basedOn w:val="Absatz-Standardschriftart"/>
    <w:link w:val="Kopfzeile"/>
    <w:uiPriority w:val="99"/>
    <w:rsid w:val="003D7B33"/>
  </w:style>
  <w:style w:type="paragraph" w:styleId="Fuzeile">
    <w:name w:val="footer"/>
    <w:basedOn w:val="Standard"/>
    <w:link w:val="FuzeileZchn"/>
    <w:uiPriority w:val="99"/>
    <w:unhideWhenUsed/>
    <w:rsid w:val="003D7B33"/>
    <w:pPr>
      <w:tabs>
        <w:tab w:val="center" w:pos="4153"/>
        <w:tab w:val="right" w:pos="8306"/>
      </w:tabs>
    </w:pPr>
  </w:style>
  <w:style w:type="character" w:customStyle="1" w:styleId="FuzeileZchn">
    <w:name w:val="Υποσέλιδο Char"/>
    <w:basedOn w:val="Absatz-Standardschriftart"/>
    <w:link w:val="Fuzeile"/>
    <w:uiPriority w:val="99"/>
    <w:rsid w:val="003D7B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Κείμενο πλαισίου Char"/>
    <w:basedOn w:val="Absatz-Standardschriftart"/>
    <w:link w:val="Sprechblasentext"/>
    <w:uiPriority w:val="99"/>
    <w:semiHidden/>
    <w:rsid w:val="0081741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nhideWhenUsed/>
    <w:rsid w:val="00552BC5"/>
    <w:rPr>
      <w:sz w:val="20"/>
      <w:szCs w:val="20"/>
    </w:rPr>
  </w:style>
  <w:style w:type="character" w:customStyle="1" w:styleId="FunotentextZchn">
    <w:name w:val="Κείμενο υποσημείωσης Char"/>
    <w:basedOn w:val="Absatz-Standardschriftart"/>
    <w:link w:val="Funotentext"/>
    <w:rsid w:val="00552BC5"/>
  </w:style>
  <w:style w:type="character" w:styleId="Funotenzeichen">
    <w:name w:val="footnote reference"/>
    <w:basedOn w:val="Absatz-Standardschriftart"/>
    <w:semiHidden/>
    <w:unhideWhenUsed/>
    <w:rsid w:val="00552BC5"/>
    <w:rPr>
      <w:vertAlign w:val="superscript"/>
    </w:rPr>
  </w:style>
  <w:style w:type="paragraph" w:styleId="Listenabsatz">
    <w:name w:val="List Paragraph"/>
    <w:basedOn w:val="Standard"/>
    <w:qFormat/>
    <w:rsid w:val="00454A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52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24C"/>
    <w:pPr>
      <w:spacing w:line="240" w:lineRule="auto"/>
    </w:pPr>
    <w:rPr>
      <w:sz w:val="20"/>
      <w:szCs w:val="20"/>
    </w:rPr>
  </w:style>
  <w:style w:type="character" w:customStyle="1" w:styleId="KommentartextZchn">
    <w:name w:val="Κείμενο σχολίου Char"/>
    <w:basedOn w:val="Absatz-Standardschriftart"/>
    <w:link w:val="Kommentartext"/>
    <w:uiPriority w:val="99"/>
    <w:semiHidden/>
    <w:rsid w:val="006D524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24C"/>
    <w:rPr>
      <w:b/>
      <w:bCs/>
    </w:rPr>
  </w:style>
  <w:style w:type="character" w:customStyle="1" w:styleId="KommentarthemaZchn">
    <w:name w:val="Θέμα σχολίου Char"/>
    <w:basedOn w:val="KommentartextZchn"/>
    <w:link w:val="Kommentarthema"/>
    <w:uiPriority w:val="99"/>
    <w:semiHidden/>
    <w:rsid w:val="006D524C"/>
    <w:rPr>
      <w:b/>
      <w:bCs/>
    </w:rPr>
  </w:style>
  <w:style w:type="character" w:customStyle="1" w:styleId="berschrift2Zchn">
    <w:name w:val="Επικεφαλίδα 2 Char"/>
    <w:basedOn w:val="Absatz-Standardschriftart"/>
    <w:link w:val="berschrift2"/>
    <w:rsid w:val="00A4387C"/>
    <w:rPr>
      <w:rFonts w:ascii="Verdana" w:hAnsi="Verdana" w:cs="Arial"/>
      <w:b/>
      <w:bCs/>
      <w:iCs/>
      <w:sz w:val="28"/>
      <w:szCs w:val="28"/>
      <w:lang w:val="en-US"/>
    </w:rPr>
  </w:style>
  <w:style w:type="table" w:styleId="HelleListe-Akzent1">
    <w:name w:val="Light List Accent 1"/>
    <w:basedOn w:val="NormaleTabelle"/>
    <w:uiPriority w:val="61"/>
    <w:rsid w:val="00A4387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1Zchn">
    <w:name w:val="Επικεφαλίδα 1 Char"/>
    <w:basedOn w:val="Absatz-Standardschriftart"/>
    <w:link w:val="berschrift1"/>
    <w:uiPriority w:val="9"/>
    <w:rsid w:val="00071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Επικεφαλίδα 3 Char"/>
    <w:basedOn w:val="Absatz-Standardschriftart"/>
    <w:link w:val="berschrift3"/>
    <w:uiPriority w:val="9"/>
    <w:rsid w:val="0007199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erschrift4Zchn">
    <w:name w:val="Επικεφαλίδα 4 Char"/>
    <w:basedOn w:val="Absatz-Standardschriftart"/>
    <w:link w:val="berschrift4"/>
    <w:uiPriority w:val="9"/>
    <w:rsid w:val="00071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98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57598E"/>
    <w:pPr>
      <w:tabs>
        <w:tab w:val="right" w:leader="dot" w:pos="8979"/>
      </w:tabs>
      <w:spacing w:before="120"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57598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7598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.uoa.gr/grammateia/dhloseis-ma8hmatwn-e3etase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59DB-D82D-4E9E-BC5F-E423F7E1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4030</Words>
  <Characters>21764</Characters>
  <Application>Microsoft Office Word</Application>
  <DocSecurity>0</DocSecurity>
  <Lines>181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user</cp:lastModifiedBy>
  <cp:revision>3</cp:revision>
  <cp:lastPrinted>2016-09-13T20:03:00Z</cp:lastPrinted>
  <dcterms:created xsi:type="dcterms:W3CDTF">2017-11-03T12:05:00Z</dcterms:created>
  <dcterms:modified xsi:type="dcterms:W3CDTF">2017-11-03T12:06:00Z</dcterms:modified>
</cp:coreProperties>
</file>