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6D27" w:rsidRPr="00946D27" w:rsidRDefault="00946D27" w:rsidP="00946D27">
      <w:pPr>
        <w:spacing w:line="360" w:lineRule="auto"/>
        <w:jc w:val="both"/>
        <w:rPr>
          <w:rFonts w:ascii="Times New Roman" w:hAnsi="Times New Roman" w:cs="Times New Roman"/>
          <w:b/>
          <w:sz w:val="24"/>
          <w:szCs w:val="24"/>
        </w:rPr>
      </w:pPr>
      <w:bookmarkStart w:id="0" w:name="_GoBack"/>
      <w:bookmarkEnd w:id="0"/>
      <w:r>
        <w:rPr>
          <w:rFonts w:ascii="Times New Roman" w:hAnsi="Times New Roman" w:cs="Times New Roman"/>
          <w:b/>
          <w:sz w:val="24"/>
          <w:szCs w:val="24"/>
        </w:rPr>
        <w:t>ΠΕΡΙΛΗΨΗ</w:t>
      </w:r>
    </w:p>
    <w:p w:rsidR="00946D27" w:rsidRPr="00946D27" w:rsidRDefault="00946D27" w:rsidP="00946D27">
      <w:pPr>
        <w:spacing w:line="360" w:lineRule="auto"/>
        <w:jc w:val="both"/>
        <w:rPr>
          <w:rFonts w:ascii="Times New Roman" w:hAnsi="Times New Roman" w:cs="Times New Roman"/>
          <w:sz w:val="24"/>
          <w:szCs w:val="24"/>
        </w:rPr>
      </w:pPr>
      <w:r w:rsidRPr="00946D27">
        <w:rPr>
          <w:rFonts w:ascii="Times New Roman" w:hAnsi="Times New Roman" w:cs="Times New Roman"/>
          <w:sz w:val="24"/>
          <w:szCs w:val="24"/>
          <w:lang w:val="en-US"/>
        </w:rPr>
        <w:t>H</w:t>
      </w:r>
      <w:r w:rsidRPr="00946D27">
        <w:rPr>
          <w:rFonts w:ascii="Times New Roman" w:hAnsi="Times New Roman" w:cs="Times New Roman"/>
          <w:sz w:val="24"/>
          <w:szCs w:val="24"/>
        </w:rPr>
        <w:t xml:space="preserve"> συμβολή της θεωρητικής γλωσσολογίας στη διδασκαλία του γλωσσικού μαθήματος, και ειδικότερα της Γραμματικής στο σχολείο σχετίζεται με την εξασφάλιση της περιγραφικής επάρκειας του γλωσσικού συστήματος και την αντιμετώπιση του γλωσσικού μαθήματος (μητρικής και ξένης γλώσσας) ως ενός ενιαίου αντικειμένου διδασκαλίας (Γεωργιαφέντης </w:t>
      </w:r>
      <w:r w:rsidRPr="00946D27">
        <w:rPr>
          <w:rFonts w:ascii="Times New Roman" w:hAnsi="Times New Roman" w:cs="Times New Roman"/>
          <w:sz w:val="24"/>
          <w:szCs w:val="24"/>
          <w:lang w:val="en-US"/>
        </w:rPr>
        <w:t>et</w:t>
      </w:r>
      <w:r w:rsidRPr="00946D27">
        <w:rPr>
          <w:rFonts w:ascii="Times New Roman" w:hAnsi="Times New Roman" w:cs="Times New Roman"/>
          <w:sz w:val="24"/>
          <w:szCs w:val="24"/>
        </w:rPr>
        <w:t xml:space="preserve"> </w:t>
      </w:r>
      <w:r w:rsidRPr="00946D27">
        <w:rPr>
          <w:rFonts w:ascii="Times New Roman" w:hAnsi="Times New Roman" w:cs="Times New Roman"/>
          <w:sz w:val="24"/>
          <w:szCs w:val="24"/>
          <w:lang w:val="en-US"/>
        </w:rPr>
        <w:t>al</w:t>
      </w:r>
      <w:r w:rsidRPr="00946D27">
        <w:rPr>
          <w:rFonts w:ascii="Times New Roman" w:hAnsi="Times New Roman" w:cs="Times New Roman"/>
          <w:sz w:val="24"/>
          <w:szCs w:val="24"/>
        </w:rPr>
        <w:t xml:space="preserve">., 2011, Van Rijt &amp; Coppen 2017). Υπό αυτήν την έννοια η Διδακτική οφείλει να συμπεριλαμβάνει όλα τα δεδομένα, τόσο τις θεωρητικές αναλύσεις όσο και τα εμπειρικά δεδομένα, και να παρέχει στους διδάσκοντες και σε όλους τους εμπλεκόμενους στη διδακτική διαδικασία συγκεκριμένα πορίσματα με σκοπό την όσο το δυνατόν καλύτερη διδασκαλία και την ανάπτυξη της καταλληλότερης διδακτικής μεθοδολογίας (Κατσιμαλή, 2007, Κλειδή &amp; Τσόκογλου, 2014). </w:t>
      </w:r>
    </w:p>
    <w:p w:rsidR="00946D27" w:rsidRPr="00946D27" w:rsidRDefault="00946D27" w:rsidP="00946D27">
      <w:pPr>
        <w:spacing w:line="360" w:lineRule="auto"/>
        <w:jc w:val="both"/>
        <w:rPr>
          <w:rFonts w:ascii="Times New Roman" w:hAnsi="Times New Roman" w:cs="Times New Roman"/>
          <w:sz w:val="24"/>
          <w:szCs w:val="24"/>
        </w:rPr>
      </w:pPr>
      <w:r w:rsidRPr="00946D27">
        <w:rPr>
          <w:rFonts w:ascii="Times New Roman" w:hAnsi="Times New Roman" w:cs="Times New Roman"/>
          <w:sz w:val="24"/>
          <w:szCs w:val="24"/>
        </w:rPr>
        <w:t>Το τελευταίο χρονικό διάστημα, εξάλλου, αναβιώνει ο ρόλος της Γλωσσολογίας στο γλωσσικό μάθημα στο πλαίσιο της Εκπαιδευτικής Γλωσσολογίας (</w:t>
      </w:r>
      <w:r w:rsidRPr="00946D27">
        <w:rPr>
          <w:rFonts w:ascii="Times New Roman" w:hAnsi="Times New Roman" w:cs="Times New Roman"/>
          <w:sz w:val="24"/>
          <w:szCs w:val="24"/>
          <w:lang w:val="en-US"/>
        </w:rPr>
        <w:t>Educational</w:t>
      </w:r>
      <w:r w:rsidRPr="00946D27">
        <w:rPr>
          <w:rFonts w:ascii="Times New Roman" w:hAnsi="Times New Roman" w:cs="Times New Roman"/>
          <w:sz w:val="24"/>
          <w:szCs w:val="24"/>
        </w:rPr>
        <w:t xml:space="preserve"> </w:t>
      </w:r>
      <w:r w:rsidRPr="00946D27">
        <w:rPr>
          <w:rFonts w:ascii="Times New Roman" w:hAnsi="Times New Roman" w:cs="Times New Roman"/>
          <w:sz w:val="24"/>
          <w:szCs w:val="24"/>
          <w:lang w:val="en-US"/>
        </w:rPr>
        <w:t>Linguistics</w:t>
      </w:r>
      <w:r w:rsidRPr="00946D27">
        <w:rPr>
          <w:rFonts w:ascii="Times New Roman" w:hAnsi="Times New Roman" w:cs="Times New Roman"/>
          <w:sz w:val="24"/>
          <w:szCs w:val="24"/>
        </w:rPr>
        <w:t>). Η γλωσσική επίγνωση (</w:t>
      </w:r>
      <w:r w:rsidRPr="00946D27">
        <w:rPr>
          <w:rFonts w:ascii="Times New Roman" w:hAnsi="Times New Roman" w:cs="Times New Roman"/>
          <w:sz w:val="24"/>
          <w:szCs w:val="24"/>
          <w:lang w:val="en-US"/>
        </w:rPr>
        <w:t>language</w:t>
      </w:r>
      <w:r w:rsidRPr="00946D27">
        <w:rPr>
          <w:rFonts w:ascii="Times New Roman" w:hAnsi="Times New Roman" w:cs="Times New Roman"/>
          <w:sz w:val="24"/>
          <w:szCs w:val="24"/>
        </w:rPr>
        <w:t xml:space="preserve"> </w:t>
      </w:r>
      <w:r w:rsidRPr="00946D27">
        <w:rPr>
          <w:rFonts w:ascii="Times New Roman" w:hAnsi="Times New Roman" w:cs="Times New Roman"/>
          <w:sz w:val="24"/>
          <w:szCs w:val="24"/>
          <w:lang w:val="en-US"/>
        </w:rPr>
        <w:t>awareness</w:t>
      </w:r>
      <w:r w:rsidRPr="00946D27">
        <w:rPr>
          <w:rFonts w:ascii="Times New Roman" w:hAnsi="Times New Roman" w:cs="Times New Roman"/>
          <w:sz w:val="24"/>
          <w:szCs w:val="24"/>
        </w:rPr>
        <w:t>) προτείνεται όλο και συχνότερα στη διεθνή βιβλιογραφία (</w:t>
      </w:r>
      <w:r w:rsidRPr="00946D27">
        <w:rPr>
          <w:rFonts w:ascii="Times New Roman" w:hAnsi="Times New Roman" w:cs="Times New Roman"/>
          <w:sz w:val="24"/>
          <w:szCs w:val="24"/>
          <w:lang w:val="en-US"/>
        </w:rPr>
        <w:t>Myhill</w:t>
      </w:r>
      <w:r w:rsidRPr="00946D27">
        <w:rPr>
          <w:rFonts w:ascii="Times New Roman" w:hAnsi="Times New Roman" w:cs="Times New Roman"/>
          <w:sz w:val="24"/>
          <w:szCs w:val="24"/>
        </w:rPr>
        <w:t xml:space="preserve">, 2016, </w:t>
      </w:r>
      <w:r w:rsidRPr="00946D27">
        <w:rPr>
          <w:rFonts w:ascii="Times New Roman" w:hAnsi="Times New Roman" w:cs="Times New Roman"/>
          <w:sz w:val="24"/>
          <w:szCs w:val="24"/>
          <w:lang w:val="en-US"/>
        </w:rPr>
        <w:t>Van</w:t>
      </w:r>
      <w:r w:rsidRPr="00946D27">
        <w:rPr>
          <w:rFonts w:ascii="Times New Roman" w:hAnsi="Times New Roman" w:cs="Times New Roman"/>
          <w:sz w:val="24"/>
          <w:szCs w:val="24"/>
        </w:rPr>
        <w:t xml:space="preserve"> </w:t>
      </w:r>
      <w:r w:rsidRPr="00946D27">
        <w:rPr>
          <w:rFonts w:ascii="Times New Roman" w:hAnsi="Times New Roman" w:cs="Times New Roman"/>
          <w:sz w:val="24"/>
          <w:szCs w:val="24"/>
          <w:lang w:val="en-US"/>
        </w:rPr>
        <w:t>Rijt</w:t>
      </w:r>
      <w:r w:rsidRPr="00946D27">
        <w:rPr>
          <w:rFonts w:ascii="Times New Roman" w:hAnsi="Times New Roman" w:cs="Times New Roman"/>
          <w:sz w:val="24"/>
          <w:szCs w:val="24"/>
        </w:rPr>
        <w:t xml:space="preserve"> &amp; </w:t>
      </w:r>
      <w:r w:rsidRPr="00946D27">
        <w:rPr>
          <w:rFonts w:ascii="Times New Roman" w:hAnsi="Times New Roman" w:cs="Times New Roman"/>
          <w:sz w:val="24"/>
          <w:szCs w:val="24"/>
          <w:lang w:val="en-US"/>
        </w:rPr>
        <w:t>Coppen</w:t>
      </w:r>
      <w:r w:rsidRPr="00946D27">
        <w:rPr>
          <w:rFonts w:ascii="Times New Roman" w:hAnsi="Times New Roman" w:cs="Times New Roman"/>
          <w:sz w:val="24"/>
          <w:szCs w:val="24"/>
        </w:rPr>
        <w:t xml:space="preserve">, 2017, </w:t>
      </w:r>
      <w:r w:rsidRPr="00946D27">
        <w:rPr>
          <w:rFonts w:ascii="Times New Roman" w:hAnsi="Times New Roman" w:cs="Times New Roman"/>
          <w:sz w:val="24"/>
          <w:szCs w:val="24"/>
          <w:lang w:val="en-US"/>
        </w:rPr>
        <w:t>Graus</w:t>
      </w:r>
      <w:r w:rsidRPr="00946D27">
        <w:rPr>
          <w:rFonts w:ascii="Times New Roman" w:hAnsi="Times New Roman" w:cs="Times New Roman"/>
          <w:sz w:val="24"/>
          <w:szCs w:val="24"/>
        </w:rPr>
        <w:t xml:space="preserve">, 2018, </w:t>
      </w:r>
      <w:r w:rsidRPr="00946D27">
        <w:rPr>
          <w:rFonts w:ascii="Times New Roman" w:hAnsi="Times New Roman" w:cs="Times New Roman"/>
          <w:sz w:val="24"/>
          <w:szCs w:val="24"/>
          <w:lang w:val="en-US"/>
        </w:rPr>
        <w:t>Boivin</w:t>
      </w:r>
      <w:r w:rsidRPr="00946D27">
        <w:rPr>
          <w:rFonts w:ascii="Times New Roman" w:hAnsi="Times New Roman" w:cs="Times New Roman"/>
          <w:sz w:val="24"/>
          <w:szCs w:val="24"/>
        </w:rPr>
        <w:t xml:space="preserve"> </w:t>
      </w:r>
      <w:r w:rsidRPr="00946D27">
        <w:rPr>
          <w:rFonts w:ascii="Times New Roman" w:hAnsi="Times New Roman" w:cs="Times New Roman"/>
          <w:sz w:val="24"/>
          <w:szCs w:val="24"/>
          <w:lang w:val="en-US"/>
        </w:rPr>
        <w:t>et</w:t>
      </w:r>
      <w:r w:rsidRPr="00946D27">
        <w:rPr>
          <w:rFonts w:ascii="Times New Roman" w:hAnsi="Times New Roman" w:cs="Times New Roman"/>
          <w:sz w:val="24"/>
          <w:szCs w:val="24"/>
        </w:rPr>
        <w:t xml:space="preserve"> </w:t>
      </w:r>
      <w:r w:rsidRPr="00946D27">
        <w:rPr>
          <w:rFonts w:ascii="Times New Roman" w:hAnsi="Times New Roman" w:cs="Times New Roman"/>
          <w:sz w:val="24"/>
          <w:szCs w:val="24"/>
          <w:lang w:val="en-US"/>
        </w:rPr>
        <w:t>al</w:t>
      </w:r>
      <w:r w:rsidRPr="00946D27">
        <w:rPr>
          <w:rFonts w:ascii="Times New Roman" w:hAnsi="Times New Roman" w:cs="Times New Roman"/>
          <w:sz w:val="24"/>
          <w:szCs w:val="24"/>
        </w:rPr>
        <w:t xml:space="preserve">., 2018, </w:t>
      </w:r>
      <w:r w:rsidRPr="00946D27">
        <w:rPr>
          <w:rFonts w:ascii="Times New Roman" w:hAnsi="Times New Roman" w:cs="Times New Roman"/>
          <w:sz w:val="24"/>
          <w:szCs w:val="24"/>
          <w:lang w:val="en-US"/>
        </w:rPr>
        <w:t>R</w:t>
      </w:r>
      <w:r w:rsidRPr="00946D27">
        <w:rPr>
          <w:rFonts w:ascii="Times New Roman" w:hAnsi="Times New Roman" w:cs="Times New Roman"/>
          <w:sz w:val="24"/>
          <w:szCs w:val="24"/>
        </w:rPr>
        <w:t>ä</w:t>
      </w:r>
      <w:r w:rsidRPr="00946D27">
        <w:rPr>
          <w:rFonts w:ascii="Times New Roman" w:hAnsi="Times New Roman" w:cs="Times New Roman"/>
          <w:sz w:val="24"/>
          <w:szCs w:val="24"/>
          <w:lang w:val="en-US"/>
        </w:rPr>
        <w:t>tty</w:t>
      </w:r>
      <w:r w:rsidRPr="00946D27">
        <w:rPr>
          <w:rFonts w:ascii="Times New Roman" w:hAnsi="Times New Roman" w:cs="Times New Roman"/>
          <w:sz w:val="24"/>
          <w:szCs w:val="24"/>
        </w:rPr>
        <w:t xml:space="preserve">ä </w:t>
      </w:r>
      <w:r w:rsidRPr="00946D27">
        <w:rPr>
          <w:rFonts w:ascii="Times New Roman" w:hAnsi="Times New Roman" w:cs="Times New Roman"/>
          <w:sz w:val="24"/>
          <w:szCs w:val="24"/>
          <w:lang w:val="en-US"/>
        </w:rPr>
        <w:t>et</w:t>
      </w:r>
      <w:r w:rsidRPr="00946D27">
        <w:rPr>
          <w:rFonts w:ascii="Times New Roman" w:hAnsi="Times New Roman" w:cs="Times New Roman"/>
          <w:sz w:val="24"/>
          <w:szCs w:val="24"/>
        </w:rPr>
        <w:t xml:space="preserve"> </w:t>
      </w:r>
      <w:r w:rsidRPr="00946D27">
        <w:rPr>
          <w:rFonts w:ascii="Times New Roman" w:hAnsi="Times New Roman" w:cs="Times New Roman"/>
          <w:sz w:val="24"/>
          <w:szCs w:val="24"/>
          <w:lang w:val="en-US"/>
        </w:rPr>
        <w:t>al</w:t>
      </w:r>
      <w:r w:rsidRPr="00946D27">
        <w:rPr>
          <w:rFonts w:ascii="Times New Roman" w:hAnsi="Times New Roman" w:cs="Times New Roman"/>
          <w:sz w:val="24"/>
          <w:szCs w:val="24"/>
        </w:rPr>
        <w:t xml:space="preserve">., 2019, </w:t>
      </w:r>
      <w:r w:rsidRPr="00946D27">
        <w:rPr>
          <w:rFonts w:ascii="Times New Roman" w:hAnsi="Times New Roman" w:cs="Times New Roman"/>
          <w:sz w:val="24"/>
          <w:szCs w:val="24"/>
          <w:lang w:val="en-US"/>
        </w:rPr>
        <w:t>Van</w:t>
      </w:r>
      <w:r w:rsidRPr="00946D27">
        <w:rPr>
          <w:rFonts w:ascii="Times New Roman" w:hAnsi="Times New Roman" w:cs="Times New Roman"/>
          <w:sz w:val="24"/>
          <w:szCs w:val="24"/>
        </w:rPr>
        <w:t xml:space="preserve"> </w:t>
      </w:r>
      <w:r w:rsidRPr="00946D27">
        <w:rPr>
          <w:rFonts w:ascii="Times New Roman" w:hAnsi="Times New Roman" w:cs="Times New Roman"/>
          <w:sz w:val="24"/>
          <w:szCs w:val="24"/>
          <w:lang w:val="en-US"/>
        </w:rPr>
        <w:t>Rijt</w:t>
      </w:r>
      <w:r w:rsidRPr="00946D27">
        <w:rPr>
          <w:rFonts w:ascii="Times New Roman" w:hAnsi="Times New Roman" w:cs="Times New Roman"/>
          <w:sz w:val="24"/>
          <w:szCs w:val="24"/>
        </w:rPr>
        <w:t xml:space="preserve">, 2020, </w:t>
      </w:r>
      <w:r w:rsidRPr="00946D27">
        <w:rPr>
          <w:rFonts w:ascii="Times New Roman" w:hAnsi="Times New Roman" w:cs="Times New Roman"/>
          <w:sz w:val="24"/>
          <w:szCs w:val="24"/>
          <w:lang w:val="en-US"/>
        </w:rPr>
        <w:t>V</w:t>
      </w:r>
      <w:r w:rsidRPr="00946D27">
        <w:rPr>
          <w:rFonts w:ascii="Times New Roman" w:hAnsi="Times New Roman" w:cs="Times New Roman"/>
          <w:sz w:val="24"/>
          <w:szCs w:val="24"/>
        </w:rPr>
        <w:t xml:space="preserve">an Rijt, Wijnands &amp; Coppen, 2020, </w:t>
      </w:r>
      <w:r w:rsidRPr="00946D27">
        <w:rPr>
          <w:rFonts w:ascii="Times New Roman" w:hAnsi="Times New Roman" w:cs="Times New Roman"/>
          <w:sz w:val="24"/>
          <w:szCs w:val="24"/>
          <w:lang w:val="en-US"/>
        </w:rPr>
        <w:t>Dielemans</w:t>
      </w:r>
      <w:r w:rsidRPr="00946D27">
        <w:rPr>
          <w:rFonts w:ascii="Times New Roman" w:hAnsi="Times New Roman" w:cs="Times New Roman"/>
          <w:sz w:val="24"/>
          <w:szCs w:val="24"/>
        </w:rPr>
        <w:t xml:space="preserve"> &amp; </w:t>
      </w:r>
      <w:r w:rsidRPr="00946D27">
        <w:rPr>
          <w:rFonts w:ascii="Times New Roman" w:hAnsi="Times New Roman" w:cs="Times New Roman"/>
          <w:sz w:val="24"/>
          <w:szCs w:val="24"/>
          <w:lang w:val="en-US"/>
        </w:rPr>
        <w:t>Coppen</w:t>
      </w:r>
      <w:r w:rsidRPr="00946D27">
        <w:rPr>
          <w:rFonts w:ascii="Times New Roman" w:hAnsi="Times New Roman" w:cs="Times New Roman"/>
          <w:sz w:val="24"/>
          <w:szCs w:val="24"/>
        </w:rPr>
        <w:t xml:space="preserve">, 2021) και προκρίνεται έναντι άλλων θεωριών και μεθόδων γλωσσικής κατάκτησης που ίσχυαν έως τώρα, όπως το Επικοινωνιακό Μοντέλο, εξαιτίας των ιδιαίτερων δυσκολιών που εμφανίζουν οι μαθητές κατά την εκμάθηση των ξένων γλωσσών και της συχνότητας και του αυξημένου αριθμού λαθών τόσο στην παραγωγή γραπτού όσο και στην παραγωγή προφορικού λόγου. </w:t>
      </w:r>
    </w:p>
    <w:p w:rsidR="00946D27" w:rsidRPr="00946D27" w:rsidRDefault="00946D27" w:rsidP="00946D27">
      <w:pPr>
        <w:spacing w:line="360" w:lineRule="auto"/>
        <w:jc w:val="both"/>
        <w:rPr>
          <w:rFonts w:ascii="Times New Roman" w:hAnsi="Times New Roman" w:cs="Times New Roman"/>
          <w:sz w:val="24"/>
          <w:szCs w:val="24"/>
        </w:rPr>
      </w:pPr>
      <w:r w:rsidRPr="00946D27">
        <w:rPr>
          <w:rFonts w:ascii="Times New Roman" w:hAnsi="Times New Roman" w:cs="Times New Roman"/>
          <w:sz w:val="24"/>
          <w:szCs w:val="24"/>
        </w:rPr>
        <w:t xml:space="preserve">Οι δυσκολίες των μαθητών σχετικά με την κατάκτηση συγκεκριμένων δομών οφείλονται επιπροσθέτως και στο γεγονός είναι ότι η διδασκαλία του γλωσσικού μαθήματος και ιδιαίτερα της Γραμματικής στο σχολείο δε φαίνεται να αντιμετωπίζεται ενιαία για όλες τις γλώσσες και αυτό εντοπίζεται τόσο στα διδακτικά εγχειρίδια και στις πρακτικές των εκπαιδευτικών, όσο και στα Προγράμματα Σπουδών. Παρατηρείται, επίσης, στα σχολικά εγχειρίδια ότι οι περιγραφές δεν στηρίζονται πάντοτε σε θεωρητικά τεκμηριωμένες αναλύσεις, ενώ εμφανίζεται σημαντική διαφοροποίηση στην περιγραφή του γλωσσικού συστήματος των επιμέρους γλωσσών (Γεωργιαφέντης </w:t>
      </w:r>
      <w:r w:rsidRPr="00946D27">
        <w:rPr>
          <w:rFonts w:ascii="Times New Roman" w:hAnsi="Times New Roman" w:cs="Times New Roman"/>
          <w:sz w:val="24"/>
          <w:szCs w:val="24"/>
          <w:lang w:val="en-US"/>
        </w:rPr>
        <w:t>et</w:t>
      </w:r>
      <w:r w:rsidRPr="00946D27">
        <w:rPr>
          <w:rFonts w:ascii="Times New Roman" w:hAnsi="Times New Roman" w:cs="Times New Roman"/>
          <w:sz w:val="24"/>
          <w:szCs w:val="24"/>
        </w:rPr>
        <w:t xml:space="preserve"> </w:t>
      </w:r>
      <w:r w:rsidRPr="00946D27">
        <w:rPr>
          <w:rFonts w:ascii="Times New Roman" w:hAnsi="Times New Roman" w:cs="Times New Roman"/>
          <w:sz w:val="24"/>
          <w:szCs w:val="24"/>
          <w:lang w:val="en-US"/>
        </w:rPr>
        <w:t>al</w:t>
      </w:r>
      <w:r w:rsidRPr="00946D27">
        <w:rPr>
          <w:rFonts w:ascii="Times New Roman" w:hAnsi="Times New Roman" w:cs="Times New Roman"/>
          <w:sz w:val="24"/>
          <w:szCs w:val="24"/>
        </w:rPr>
        <w:t xml:space="preserve">., 2019, </w:t>
      </w:r>
      <w:r w:rsidRPr="00946D27">
        <w:rPr>
          <w:rFonts w:ascii="Times New Roman" w:hAnsi="Times New Roman" w:cs="Times New Roman"/>
          <w:sz w:val="24"/>
          <w:szCs w:val="24"/>
          <w:lang w:val="en-US"/>
        </w:rPr>
        <w:t>Georgiafentis</w:t>
      </w:r>
      <w:r w:rsidRPr="00946D27">
        <w:rPr>
          <w:rFonts w:ascii="Times New Roman" w:hAnsi="Times New Roman" w:cs="Times New Roman"/>
          <w:sz w:val="24"/>
          <w:szCs w:val="24"/>
        </w:rPr>
        <w:t xml:space="preserve"> &amp; </w:t>
      </w:r>
      <w:r w:rsidRPr="00946D27">
        <w:rPr>
          <w:rFonts w:ascii="Times New Roman" w:hAnsi="Times New Roman" w:cs="Times New Roman"/>
          <w:sz w:val="24"/>
          <w:szCs w:val="24"/>
          <w:lang w:val="en-US"/>
        </w:rPr>
        <w:t>Tsokoglou</w:t>
      </w:r>
      <w:r w:rsidRPr="00946D27">
        <w:rPr>
          <w:rFonts w:ascii="Times New Roman" w:hAnsi="Times New Roman" w:cs="Times New Roman"/>
          <w:sz w:val="24"/>
          <w:szCs w:val="24"/>
        </w:rPr>
        <w:t xml:space="preserve">, 2020, Κλειδή &amp; Τσόκογλου </w:t>
      </w:r>
      <w:r w:rsidRPr="00946D27">
        <w:rPr>
          <w:rFonts w:ascii="Times New Roman" w:hAnsi="Times New Roman" w:cs="Times New Roman"/>
          <w:sz w:val="24"/>
          <w:szCs w:val="24"/>
        </w:rPr>
        <w:lastRenderedPageBreak/>
        <w:t xml:space="preserve">2014). Όλα αυτά τα δεδομένα φαίνεται να επηρεάζουν άμεσα τόσο τις εκπαιδευτικές επιλογές. </w:t>
      </w:r>
    </w:p>
    <w:p w:rsidR="00946D27" w:rsidRPr="00946D27" w:rsidRDefault="00946D27" w:rsidP="00946D27">
      <w:pPr>
        <w:spacing w:line="360" w:lineRule="auto"/>
        <w:jc w:val="both"/>
        <w:rPr>
          <w:rFonts w:ascii="Times New Roman" w:hAnsi="Times New Roman" w:cs="Times New Roman"/>
          <w:sz w:val="24"/>
          <w:szCs w:val="24"/>
        </w:rPr>
      </w:pPr>
      <w:r w:rsidRPr="00946D27">
        <w:rPr>
          <w:rFonts w:ascii="Times New Roman" w:hAnsi="Times New Roman" w:cs="Times New Roman"/>
          <w:sz w:val="24"/>
          <w:szCs w:val="24"/>
        </w:rPr>
        <w:t>Η διατριβή αυτή έχει ως έρεισμα το γεγονός ότι οι μαθητές που μαθαίνουν τη γερμανική γλώσσα ως β΄ ξένη γλώσσα στη δημόσια Πρωτοβάθμια και Δευτεροβάθμια Εκπαίδευση εμφανίζουν αρκετές δυσκολίες να αντιληφθούν το γλωσσικό σύστημα και να κατακτήσουν τα γραμματικά φαινόμενα που διδάσκονται σε συνδυασμό με το να αντιληφθούν το πόσο ενιαία είναι τα γλωσσικά συστήματα, αφού κάτι τέτοιο δεν διδάσκεται συστηματικά ούτε από τα εγχειρίδια ούτε από τις διδακτικές πρακτικές των εκπαιδευτικών. Οι ίδιοι μαθητές διδάσκονται την Ελληνική με εγχειρίδια που βασίζονται σε περιγραφικές- παραδοσιακές γραμματικές και δεν παρουσιάζουν τις γλώσσες διαγλωσσικά, ώστε να αναπτύξουν οι μαθητές τη γλωσσική και μεταγλωσσική επίγνωση. Σημαντικό είναι να αναλυθούν και τα υφιστάμενα Προγράμματα Σπουδών τόσο για τη διδασκαλία της ελληνικής γλώσσας όσο και της γερμανικής, με σκοπό να μελετηθεί ο ρόλος της Γραμματικής σε αυτά και το μεθοδολογικό πλαίσιο που προτείνεται για την εισαγωγή της στη διδασκαλία.</w:t>
      </w:r>
    </w:p>
    <w:p w:rsidR="00946D27" w:rsidRPr="00946D27" w:rsidRDefault="00946D27" w:rsidP="00946D27">
      <w:pPr>
        <w:spacing w:line="360" w:lineRule="auto"/>
        <w:jc w:val="both"/>
        <w:rPr>
          <w:rFonts w:ascii="Times New Roman" w:hAnsi="Times New Roman" w:cs="Times New Roman"/>
          <w:sz w:val="24"/>
          <w:szCs w:val="24"/>
        </w:rPr>
      </w:pPr>
      <w:r w:rsidRPr="00946D27">
        <w:rPr>
          <w:rFonts w:ascii="Times New Roman" w:hAnsi="Times New Roman" w:cs="Times New Roman"/>
          <w:sz w:val="24"/>
          <w:szCs w:val="24"/>
        </w:rPr>
        <w:t>Ένα ζητούμενο που αξίζει να ερευνηθεί είναι η συμβολή Σύγχρονων Γλωσσολογικών Θεωριών στο πλαίσιο της Εκπαιδευτικής Γλωσσολογίας για τη Διδασκαλία της Γραμματικής της Γερμανικής προσφέροντας ένα πλαίσιο παρουσίασης των γραμματικών και συντακτικών φαινομένων, με το οποίο οι μαθητές θα καταφέρουν να κατανοήσουν τα φαινόμενα και να παράγουν τόσο γραπτό όσο και προφορικό λόγο πιο αποτελεσματικά. Σε ένα δεύτερο επίπεδο είναι ζητούμενο το κατά πόσο τα ψηφιακά εργαλεία μπορούν να συμβάλλουν στη Γλωσσική Κατάκτηση και στη Διδασκαλία της Γραμματικής, εφόσον μπορούν να αξιοποιηθούν στα πλαίσια του υφιστάμενου θεωρητικού πλαισίου.</w:t>
      </w:r>
    </w:p>
    <w:p w:rsidR="00946D27" w:rsidRPr="00946D27" w:rsidRDefault="00946D27" w:rsidP="00946D27">
      <w:pPr>
        <w:spacing w:line="360" w:lineRule="auto"/>
        <w:jc w:val="both"/>
        <w:rPr>
          <w:rFonts w:ascii="Times New Roman" w:hAnsi="Times New Roman" w:cs="Times New Roman"/>
          <w:sz w:val="24"/>
          <w:szCs w:val="24"/>
        </w:rPr>
      </w:pPr>
      <w:r w:rsidRPr="00946D27">
        <w:rPr>
          <w:rFonts w:ascii="Times New Roman" w:hAnsi="Times New Roman" w:cs="Times New Roman"/>
          <w:sz w:val="24"/>
          <w:szCs w:val="24"/>
        </w:rPr>
        <w:t xml:space="preserve">Στη διατριβή θα μελετήσουμε τη σημασία βασικών αρχών της σύγχρονης γλωσσολογίας στη διδασκαλία της γραμματικής και στην κατανόηση των γραμματικών κανόνων. Ένας βασικός σκοπός της διατριβής αυτής είναι να ερευνηθεί και να αναδειχθεί κατά πόσο τα πορίσματα των σύγχρονων γλωσσολογικών θεωριών μπορούν να βοηθήσουν στην αντιμετώπιση του γλωσσικού μαθήματος ως ενιαίου αντικειμένου και να συμβάλλουν στην αποτελεσματικότερη κατάκτηση της ξένης γλώσσας, εν προκειμένω της Γερμανικής, εμπλέκοντας τη γνώση του φυσικού ομιλητή για τη μητρική του γλώσσα. </w:t>
      </w:r>
    </w:p>
    <w:p w:rsidR="00946D27" w:rsidRPr="00946D27" w:rsidRDefault="00946D27" w:rsidP="00946D27">
      <w:pPr>
        <w:spacing w:line="360" w:lineRule="auto"/>
        <w:jc w:val="both"/>
        <w:rPr>
          <w:rFonts w:ascii="Times New Roman" w:hAnsi="Times New Roman" w:cs="Times New Roman"/>
          <w:sz w:val="24"/>
          <w:szCs w:val="24"/>
        </w:rPr>
      </w:pPr>
      <w:r w:rsidRPr="00946D27">
        <w:rPr>
          <w:rFonts w:ascii="Times New Roman" w:hAnsi="Times New Roman" w:cs="Times New Roman"/>
          <w:sz w:val="24"/>
          <w:szCs w:val="24"/>
        </w:rPr>
        <w:t>Ειδικότερα, θα εστιάσουμε στη μελέτη συγκεκριμένων δομών της γερμανικής γλώσσας, στις οποίες εντοπίζονται τα λάθη και οι αστοχίες των μαθητών, όπως είναι ενδεικτικά η θέση των όρων στην Κύρια Πρόταση (Προτασική Δομή), η παράλειψη του Υποκειμένου, ο σχηματισμός Ερωτηματικών Προτάσεων (</w:t>
      </w:r>
      <w:r w:rsidRPr="00946D27">
        <w:rPr>
          <w:rFonts w:ascii="Times New Roman" w:hAnsi="Times New Roman" w:cs="Times New Roman"/>
          <w:sz w:val="24"/>
          <w:szCs w:val="24"/>
          <w:lang w:val="en-US"/>
        </w:rPr>
        <w:t>W</w:t>
      </w:r>
      <w:r w:rsidRPr="00946D27">
        <w:rPr>
          <w:rFonts w:ascii="Times New Roman" w:hAnsi="Times New Roman" w:cs="Times New Roman"/>
          <w:sz w:val="24"/>
          <w:szCs w:val="24"/>
        </w:rPr>
        <w:t xml:space="preserve">- </w:t>
      </w:r>
      <w:r w:rsidRPr="00946D27">
        <w:rPr>
          <w:rFonts w:ascii="Times New Roman" w:hAnsi="Times New Roman" w:cs="Times New Roman"/>
          <w:sz w:val="24"/>
          <w:szCs w:val="24"/>
          <w:lang w:val="en-US"/>
        </w:rPr>
        <w:t>Fragen</w:t>
      </w:r>
      <w:r w:rsidRPr="00946D27">
        <w:rPr>
          <w:rFonts w:ascii="Times New Roman" w:hAnsi="Times New Roman" w:cs="Times New Roman"/>
          <w:sz w:val="24"/>
          <w:szCs w:val="24"/>
        </w:rPr>
        <w:t xml:space="preserve">, </w:t>
      </w:r>
      <w:r w:rsidRPr="00946D27">
        <w:rPr>
          <w:rFonts w:ascii="Times New Roman" w:hAnsi="Times New Roman" w:cs="Times New Roman"/>
          <w:sz w:val="24"/>
          <w:szCs w:val="24"/>
          <w:lang w:val="en-US"/>
        </w:rPr>
        <w:t>Ja</w:t>
      </w:r>
      <w:r w:rsidRPr="00946D27">
        <w:rPr>
          <w:rFonts w:ascii="Times New Roman" w:hAnsi="Times New Roman" w:cs="Times New Roman"/>
          <w:sz w:val="24"/>
          <w:szCs w:val="24"/>
        </w:rPr>
        <w:t xml:space="preserve">/ </w:t>
      </w:r>
      <w:r w:rsidRPr="00946D27">
        <w:rPr>
          <w:rFonts w:ascii="Times New Roman" w:hAnsi="Times New Roman" w:cs="Times New Roman"/>
          <w:sz w:val="24"/>
          <w:szCs w:val="24"/>
          <w:lang w:val="en-US"/>
        </w:rPr>
        <w:t>Nein</w:t>
      </w:r>
      <w:r w:rsidRPr="00946D27">
        <w:rPr>
          <w:rFonts w:ascii="Times New Roman" w:hAnsi="Times New Roman" w:cs="Times New Roman"/>
          <w:sz w:val="24"/>
          <w:szCs w:val="24"/>
        </w:rPr>
        <w:t xml:space="preserve"> </w:t>
      </w:r>
      <w:r w:rsidRPr="00946D27">
        <w:rPr>
          <w:rFonts w:ascii="Times New Roman" w:hAnsi="Times New Roman" w:cs="Times New Roman"/>
          <w:sz w:val="24"/>
          <w:szCs w:val="24"/>
          <w:lang w:val="en-US"/>
        </w:rPr>
        <w:t>Fragen</w:t>
      </w:r>
      <w:r w:rsidRPr="00946D27">
        <w:rPr>
          <w:rFonts w:ascii="Times New Roman" w:hAnsi="Times New Roman" w:cs="Times New Roman"/>
          <w:sz w:val="24"/>
          <w:szCs w:val="24"/>
        </w:rPr>
        <w:t>), η θέση της άρνησης (</w:t>
      </w:r>
      <w:r w:rsidRPr="00946D27">
        <w:rPr>
          <w:rFonts w:ascii="Times New Roman" w:hAnsi="Times New Roman" w:cs="Times New Roman"/>
          <w:sz w:val="24"/>
          <w:szCs w:val="24"/>
          <w:lang w:val="en-US"/>
        </w:rPr>
        <w:t>nicht</w:t>
      </w:r>
      <w:r w:rsidRPr="00946D27">
        <w:rPr>
          <w:rFonts w:ascii="Times New Roman" w:hAnsi="Times New Roman" w:cs="Times New Roman"/>
          <w:sz w:val="24"/>
          <w:szCs w:val="24"/>
        </w:rPr>
        <w:t xml:space="preserve">, </w:t>
      </w:r>
      <w:r w:rsidRPr="00946D27">
        <w:rPr>
          <w:rFonts w:ascii="Times New Roman" w:hAnsi="Times New Roman" w:cs="Times New Roman"/>
          <w:sz w:val="24"/>
          <w:szCs w:val="24"/>
          <w:lang w:val="en-US"/>
        </w:rPr>
        <w:t>kein</w:t>
      </w:r>
      <w:r w:rsidRPr="00946D27">
        <w:rPr>
          <w:rFonts w:ascii="Times New Roman" w:hAnsi="Times New Roman" w:cs="Times New Roman"/>
          <w:sz w:val="24"/>
          <w:szCs w:val="24"/>
        </w:rPr>
        <w:t xml:space="preserve">/ </w:t>
      </w:r>
      <w:r w:rsidRPr="00946D27">
        <w:rPr>
          <w:rFonts w:ascii="Times New Roman" w:hAnsi="Times New Roman" w:cs="Times New Roman"/>
          <w:sz w:val="24"/>
          <w:szCs w:val="24"/>
          <w:lang w:val="en-US"/>
        </w:rPr>
        <w:t>keine</w:t>
      </w:r>
      <w:r w:rsidRPr="00946D27">
        <w:rPr>
          <w:rFonts w:ascii="Times New Roman" w:hAnsi="Times New Roman" w:cs="Times New Roman"/>
          <w:sz w:val="24"/>
          <w:szCs w:val="24"/>
        </w:rPr>
        <w:t>).</w:t>
      </w:r>
    </w:p>
    <w:p w:rsidR="00946D27" w:rsidRPr="00946D27" w:rsidRDefault="00946D27" w:rsidP="00946D27">
      <w:pPr>
        <w:spacing w:line="360" w:lineRule="auto"/>
        <w:jc w:val="both"/>
        <w:rPr>
          <w:rFonts w:ascii="Times New Roman" w:hAnsi="Times New Roman" w:cs="Times New Roman"/>
          <w:sz w:val="24"/>
          <w:szCs w:val="24"/>
        </w:rPr>
      </w:pPr>
      <w:r w:rsidRPr="00946D27">
        <w:rPr>
          <w:rFonts w:ascii="Times New Roman" w:hAnsi="Times New Roman" w:cs="Times New Roman"/>
          <w:sz w:val="24"/>
          <w:szCs w:val="24"/>
        </w:rPr>
        <w:t>Πιο συγκεκριμένα, στο ερευνητικό μέρος θα γίνει μία αρχική έρευνα σε δύο ομάδες μία πειραματική και μία ελέγχου, σε μαθητές Πρωτοβάθμιας Εκπαίδευσης που διδάσκονται την ελληνική ως μητρική γλώσσα και τη γερμανική ως δεύτερη ξένη γλώσσα σχετικά με τις γνώσεις των μαθητών τόσο στη μητρική όσο και στην ξένη γλώσσα, με σκοπό μία ανίχνευση του γλωσσικού τους επιπέδου σύμφωνα με το Αναλυτικό Πρόγραμμα, της γλωσσικής τους επίγνωσης και στις δύο γλώσσες και την καταγραφή των δυσκολιών και λαθών που εμφανίζονται στον λόγο τους. Στη συνέχεια και μετά την παρέμβαση του εκπαιδευτικού στην πειραματική ομάδα με συγκεκριμένες δραστηριότητες και ασκήσεις υπό το πρίσμα των σύγχρονων γλωσσολογικών θεωριών ως προς την περιγραφή των γλωσσικών συστημάτων, θα μελετηθεί εάν έχει συντελεστεί κάποια αξιοσημείωτη αλλαγή σε σχέση με την ομάδα ελέγχου αναφορικά με τη γλωσσική κατάκτηση τόσο της Γραμματικής όσο και της ξένης γλώσσας εν γένει και ενδεχομένως και της μητρικής. Σε δεύτερο χρόνο θα δοθεί στις ίδιες ομάδες μία σειρά από ασκήσεις σχεδιασμένες με τη χρήση ψηφιακών εργαλείων με σκοπό να διερευνηθεί η προστιθέμενη αξία των ψηφιακών εργαλείων στη Διδασκαλία της Γραμματικής και στη Γλωσσική Κατάκτηση τόσο της μητρικής όσο και της Γερμανικής Γλώσσας (</w:t>
      </w:r>
      <w:r w:rsidRPr="00946D27">
        <w:rPr>
          <w:rFonts w:ascii="Times New Roman" w:hAnsi="Times New Roman" w:cs="Times New Roman"/>
          <w:sz w:val="24"/>
          <w:szCs w:val="24"/>
          <w:lang w:val="en-US"/>
        </w:rPr>
        <w:t>Blake</w:t>
      </w:r>
      <w:r w:rsidRPr="00946D27">
        <w:rPr>
          <w:rFonts w:ascii="Times New Roman" w:hAnsi="Times New Roman" w:cs="Times New Roman"/>
          <w:sz w:val="24"/>
          <w:szCs w:val="24"/>
        </w:rPr>
        <w:t xml:space="preserve">, 2019, </w:t>
      </w:r>
      <w:r w:rsidRPr="00946D27">
        <w:rPr>
          <w:rFonts w:ascii="Times New Roman" w:hAnsi="Times New Roman" w:cs="Times New Roman"/>
          <w:sz w:val="24"/>
          <w:szCs w:val="24"/>
          <w:lang w:val="en-US"/>
        </w:rPr>
        <w:t>Reinhardt</w:t>
      </w:r>
      <w:r w:rsidRPr="00946D27">
        <w:rPr>
          <w:rFonts w:ascii="Times New Roman" w:hAnsi="Times New Roman" w:cs="Times New Roman"/>
          <w:sz w:val="24"/>
          <w:szCs w:val="24"/>
        </w:rPr>
        <w:t xml:space="preserve">, 2019, </w:t>
      </w:r>
      <w:r w:rsidRPr="00946D27">
        <w:rPr>
          <w:rFonts w:ascii="Times New Roman" w:hAnsi="Times New Roman" w:cs="Times New Roman"/>
          <w:sz w:val="24"/>
          <w:szCs w:val="24"/>
          <w:lang w:val="en-US"/>
        </w:rPr>
        <w:t>Vogel</w:t>
      </w:r>
      <w:r w:rsidRPr="00946D27">
        <w:rPr>
          <w:rFonts w:ascii="Times New Roman" w:hAnsi="Times New Roman" w:cs="Times New Roman"/>
          <w:sz w:val="24"/>
          <w:szCs w:val="24"/>
        </w:rPr>
        <w:t xml:space="preserve"> &amp; </w:t>
      </w:r>
      <w:r w:rsidRPr="00946D27">
        <w:rPr>
          <w:rFonts w:ascii="Times New Roman" w:hAnsi="Times New Roman" w:cs="Times New Roman"/>
          <w:sz w:val="24"/>
          <w:szCs w:val="24"/>
          <w:lang w:val="en-US"/>
        </w:rPr>
        <w:t>Schwabe</w:t>
      </w:r>
      <w:r w:rsidRPr="00946D27">
        <w:rPr>
          <w:rFonts w:ascii="Times New Roman" w:hAnsi="Times New Roman" w:cs="Times New Roman"/>
          <w:sz w:val="24"/>
          <w:szCs w:val="24"/>
        </w:rPr>
        <w:t xml:space="preserve">, 2020, Μητσικοπούλου, 2020, </w:t>
      </w:r>
      <w:r w:rsidRPr="00946D27">
        <w:rPr>
          <w:rFonts w:ascii="Times New Roman" w:hAnsi="Times New Roman" w:cs="Times New Roman"/>
          <w:sz w:val="24"/>
          <w:szCs w:val="24"/>
          <w:lang w:val="en-US"/>
        </w:rPr>
        <w:t>Mitsikopoulou</w:t>
      </w:r>
      <w:r w:rsidRPr="00946D27">
        <w:rPr>
          <w:rFonts w:ascii="Times New Roman" w:hAnsi="Times New Roman" w:cs="Times New Roman"/>
          <w:sz w:val="24"/>
          <w:szCs w:val="24"/>
        </w:rPr>
        <w:t>, 2023).</w:t>
      </w:r>
    </w:p>
    <w:p w:rsidR="00946D27" w:rsidRPr="00946D27" w:rsidRDefault="00946D27" w:rsidP="00946D27">
      <w:pPr>
        <w:spacing w:before="100" w:beforeAutospacing="1" w:after="100" w:afterAutospacing="1" w:line="360" w:lineRule="auto"/>
        <w:jc w:val="both"/>
        <w:outlineLvl w:val="2"/>
        <w:rPr>
          <w:rFonts w:ascii="Times New Roman" w:eastAsia="Times New Roman" w:hAnsi="Times New Roman" w:cs="Times New Roman"/>
          <w:b/>
          <w:bCs/>
          <w:sz w:val="24"/>
          <w:szCs w:val="24"/>
          <w:lang w:val="en-US" w:eastAsia="el-GR"/>
        </w:rPr>
      </w:pPr>
      <w:r>
        <w:rPr>
          <w:rFonts w:ascii="Times New Roman" w:eastAsia="Times New Roman" w:hAnsi="Times New Roman" w:cs="Times New Roman"/>
          <w:b/>
          <w:bCs/>
          <w:sz w:val="24"/>
          <w:szCs w:val="24"/>
          <w:lang w:val="en-US" w:eastAsia="el-GR"/>
        </w:rPr>
        <w:t>SUMMARY</w:t>
      </w:r>
    </w:p>
    <w:p w:rsidR="00946D27" w:rsidRPr="00946D27" w:rsidRDefault="00946D27" w:rsidP="00946D27">
      <w:pPr>
        <w:spacing w:before="100" w:beforeAutospacing="1" w:after="100" w:afterAutospacing="1" w:line="360" w:lineRule="auto"/>
        <w:jc w:val="both"/>
        <w:rPr>
          <w:rFonts w:ascii="Times New Roman" w:eastAsia="Times New Roman" w:hAnsi="Times New Roman" w:cs="Times New Roman"/>
          <w:sz w:val="24"/>
          <w:szCs w:val="24"/>
          <w:lang w:val="en-US" w:eastAsia="el-GR"/>
        </w:rPr>
      </w:pPr>
      <w:r w:rsidRPr="00946D27">
        <w:rPr>
          <w:rFonts w:ascii="Times New Roman" w:eastAsia="Times New Roman" w:hAnsi="Times New Roman" w:cs="Times New Roman"/>
          <w:sz w:val="24"/>
          <w:szCs w:val="24"/>
          <w:lang w:val="en-US" w:eastAsia="el-GR"/>
        </w:rPr>
        <w:t>The contribution of theoretical linguistics to the teaching of language courses, particularly grammar in schools, is linked to ensuring a descriptive adequacy of the linguistic system and approaching language instruction (both native and foreign) as a unified teaching object (Georgiafentis et al., 2011; Van Rijt &amp; Coppen, 2017). In this context, teaching must integrate both theoretical analyses and empirical data, providing educators and other stakeholders with specific findings aimed at improving teaching quality and developing the most suitable teaching methodologies (Katsimali, 2007; Kleidi &amp; Tsokoglou, 2014).</w:t>
      </w:r>
    </w:p>
    <w:p w:rsidR="00946D27" w:rsidRPr="00946D27" w:rsidRDefault="00946D27" w:rsidP="00946D27">
      <w:pPr>
        <w:spacing w:before="100" w:beforeAutospacing="1" w:after="100" w:afterAutospacing="1" w:line="360" w:lineRule="auto"/>
        <w:jc w:val="both"/>
        <w:rPr>
          <w:rFonts w:ascii="Times New Roman" w:eastAsia="Times New Roman" w:hAnsi="Times New Roman" w:cs="Times New Roman"/>
          <w:sz w:val="24"/>
          <w:szCs w:val="24"/>
          <w:lang w:val="en-US" w:eastAsia="el-GR"/>
        </w:rPr>
      </w:pPr>
      <w:r w:rsidRPr="00946D27">
        <w:rPr>
          <w:rFonts w:ascii="Times New Roman" w:eastAsia="Times New Roman" w:hAnsi="Times New Roman" w:cs="Times New Roman"/>
          <w:sz w:val="24"/>
          <w:szCs w:val="24"/>
          <w:lang w:val="en-US" w:eastAsia="el-GR"/>
        </w:rPr>
        <w:t>Recently, the role of linguistics in language education has been revitalized within the framework of Educational Linguistics. Language awareness is increasingly emphasized in international literature (Myhill, 2016; Van Rijt &amp; Coppen, 2017; Graus, 2018; Boivin et al., 2018; Rättyä et al., 2019; Van Rijt, 2020; Van Rijt, Wijnands &amp; Coppen, 2020; Dielemans &amp; Coppen, 2021) and is preferred over earlier theories like the Communicative Model. This shift is due to the significant challenges students face when learning foreign languages and the frequency and nature of errors in both written and spoken production.</w:t>
      </w:r>
    </w:p>
    <w:p w:rsidR="00946D27" w:rsidRPr="00946D27" w:rsidRDefault="00946D27" w:rsidP="00946D27">
      <w:pPr>
        <w:spacing w:before="100" w:beforeAutospacing="1" w:after="100" w:afterAutospacing="1" w:line="360" w:lineRule="auto"/>
        <w:jc w:val="both"/>
        <w:rPr>
          <w:rFonts w:ascii="Times New Roman" w:eastAsia="Times New Roman" w:hAnsi="Times New Roman" w:cs="Times New Roman"/>
          <w:sz w:val="24"/>
          <w:szCs w:val="24"/>
          <w:lang w:val="en-US" w:eastAsia="el-GR"/>
        </w:rPr>
      </w:pPr>
      <w:r w:rsidRPr="00946D27">
        <w:rPr>
          <w:rFonts w:ascii="Times New Roman" w:eastAsia="Times New Roman" w:hAnsi="Times New Roman" w:cs="Times New Roman"/>
          <w:sz w:val="24"/>
          <w:szCs w:val="24"/>
          <w:lang w:val="en-US" w:eastAsia="el-GR"/>
        </w:rPr>
        <w:t>Students' difficulties in mastering specific structures are also attributed to the fragmented approach to teaching grammar across languages. This issue is reflected in teaching materials, educators' practices, and curricula, which often lack theoretically grounded analyses and consistency in describing linguistic systems (Georgiafentis et al., 2019; Georgiafentis &amp; Tsokoglou, 2020; Kleidi &amp; Tsokoglou, 2014).</w:t>
      </w:r>
    </w:p>
    <w:p w:rsidR="00946D27" w:rsidRPr="00946D27" w:rsidRDefault="00946D27" w:rsidP="00946D27">
      <w:pPr>
        <w:spacing w:before="100" w:beforeAutospacing="1" w:after="100" w:afterAutospacing="1" w:line="360" w:lineRule="auto"/>
        <w:jc w:val="both"/>
        <w:rPr>
          <w:rFonts w:ascii="Times New Roman" w:eastAsia="Times New Roman" w:hAnsi="Times New Roman" w:cs="Times New Roman"/>
          <w:sz w:val="24"/>
          <w:szCs w:val="24"/>
          <w:lang w:val="en-US" w:eastAsia="el-GR"/>
        </w:rPr>
      </w:pPr>
      <w:r w:rsidRPr="00946D27">
        <w:rPr>
          <w:rFonts w:ascii="Times New Roman" w:eastAsia="Times New Roman" w:hAnsi="Times New Roman" w:cs="Times New Roman"/>
          <w:sz w:val="24"/>
          <w:szCs w:val="24"/>
          <w:lang w:val="en-US" w:eastAsia="el-GR"/>
        </w:rPr>
        <w:t>This dissertation explores the challenges faced by Greek students learning German as a second foreign language in public primary and secondary schools. These students often struggle with understanding linguistic systems and mastering grammatical phenomena due to unsystematic teaching approaches and instructional materials. While Greek is taught using descriptive-traditional grammar approaches, these fail to present languages contrastively, hindering the development of linguistic and metalinguistic awareness.</w:t>
      </w:r>
    </w:p>
    <w:p w:rsidR="00946D27" w:rsidRPr="00946D27" w:rsidRDefault="00946D27" w:rsidP="00946D27">
      <w:pPr>
        <w:spacing w:before="100" w:beforeAutospacing="1" w:after="100" w:afterAutospacing="1" w:line="360" w:lineRule="auto"/>
        <w:jc w:val="both"/>
        <w:rPr>
          <w:rFonts w:ascii="Times New Roman" w:eastAsia="Times New Roman" w:hAnsi="Times New Roman" w:cs="Times New Roman"/>
          <w:sz w:val="24"/>
          <w:szCs w:val="24"/>
          <w:lang w:val="en-US" w:eastAsia="el-GR"/>
        </w:rPr>
      </w:pPr>
      <w:r w:rsidRPr="00946D27">
        <w:rPr>
          <w:rFonts w:ascii="Times New Roman" w:eastAsia="Times New Roman" w:hAnsi="Times New Roman" w:cs="Times New Roman"/>
          <w:sz w:val="24"/>
          <w:szCs w:val="24"/>
          <w:lang w:val="en-US" w:eastAsia="el-GR"/>
        </w:rPr>
        <w:t>Key objectives include analyzing existing curricula for teaching Greek and German to examine the role of grammar and the proposed methodologies for its instruction. The study also seeks to evaluate the contribution of modern linguistic theories to the teaching of German grammar within the framework of Educational Linguistics, offering a structured presentation of grammatical and syntactic phenomena. This approach aims to help students understand and produce written and oral language more effectively.</w:t>
      </w:r>
    </w:p>
    <w:p w:rsidR="00946D27" w:rsidRPr="00946D27" w:rsidRDefault="00946D27" w:rsidP="00946D27">
      <w:pPr>
        <w:spacing w:before="100" w:beforeAutospacing="1" w:after="100" w:afterAutospacing="1" w:line="360" w:lineRule="auto"/>
        <w:jc w:val="both"/>
        <w:rPr>
          <w:rFonts w:ascii="Times New Roman" w:eastAsia="Times New Roman" w:hAnsi="Times New Roman" w:cs="Times New Roman"/>
          <w:sz w:val="24"/>
          <w:szCs w:val="24"/>
          <w:lang w:val="en-US" w:eastAsia="el-GR"/>
        </w:rPr>
      </w:pPr>
      <w:r w:rsidRPr="00946D27">
        <w:rPr>
          <w:rFonts w:ascii="Times New Roman" w:eastAsia="Times New Roman" w:hAnsi="Times New Roman" w:cs="Times New Roman"/>
          <w:sz w:val="24"/>
          <w:szCs w:val="24"/>
          <w:lang w:val="en-US" w:eastAsia="el-GR"/>
        </w:rPr>
        <w:t>The research involves a comparative study between an experimental group and a control group of primary school students learning Greek as their mother tongue and German as a second foreign language. Initial investigations will assess students' linguistic awareness and levels in both languages, identifying common errors and challenges. The experimental group will then receive targeted interventions, including activities based on contemporary linguistic theories, to determine the impact on their linguistic competence in both grammar and language acquisition.</w:t>
      </w:r>
    </w:p>
    <w:p w:rsidR="00946D27" w:rsidRPr="00946D27" w:rsidRDefault="00946D27" w:rsidP="00946D27">
      <w:pPr>
        <w:spacing w:before="100" w:beforeAutospacing="1" w:after="100" w:afterAutospacing="1" w:line="360" w:lineRule="auto"/>
        <w:jc w:val="both"/>
        <w:rPr>
          <w:rFonts w:ascii="Times New Roman" w:eastAsia="Times New Roman" w:hAnsi="Times New Roman" w:cs="Times New Roman"/>
          <w:sz w:val="24"/>
          <w:szCs w:val="24"/>
          <w:lang w:val="en-US" w:eastAsia="el-GR"/>
        </w:rPr>
      </w:pPr>
      <w:r w:rsidRPr="00946D27">
        <w:rPr>
          <w:rFonts w:ascii="Times New Roman" w:eastAsia="Times New Roman" w:hAnsi="Times New Roman" w:cs="Times New Roman"/>
          <w:sz w:val="24"/>
          <w:szCs w:val="24"/>
          <w:lang w:val="en-US" w:eastAsia="el-GR"/>
        </w:rPr>
        <w:t>Additionally, the study will explore the role of digital tools in facilitating language acquisition and grammar instruction within the existing theoretical framework. Exercises designed using digital tools will evaluate their added value in teaching grammar and enhancing language acquisition in both the native and foreign languages (Blake, 2019; Reinhardt, 2019; Vogel &amp; Schwabe, 2020; Mitsikopoulou, 2020; Mitsikopoulou, 2023).</w:t>
      </w:r>
    </w:p>
    <w:p w:rsidR="00946D27" w:rsidRPr="00946D27" w:rsidRDefault="00946D27" w:rsidP="00946D27">
      <w:pPr>
        <w:spacing w:line="360" w:lineRule="auto"/>
        <w:jc w:val="both"/>
        <w:rPr>
          <w:rFonts w:ascii="Times New Roman" w:hAnsi="Times New Roman" w:cs="Times New Roman"/>
          <w:sz w:val="24"/>
          <w:szCs w:val="24"/>
          <w:lang w:val="en-US"/>
        </w:rPr>
      </w:pPr>
    </w:p>
    <w:p w:rsidR="00946D27" w:rsidRPr="00946D27" w:rsidRDefault="00946D27" w:rsidP="00946D27">
      <w:pPr>
        <w:spacing w:line="360" w:lineRule="auto"/>
        <w:jc w:val="both"/>
        <w:rPr>
          <w:rFonts w:ascii="Times New Roman" w:hAnsi="Times New Roman" w:cs="Times New Roman"/>
          <w:sz w:val="24"/>
          <w:szCs w:val="24"/>
          <w:lang w:val="en-US"/>
        </w:rPr>
      </w:pPr>
    </w:p>
    <w:sectPr w:rsidR="00946D27" w:rsidRPr="00946D27">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1"/>
    <w:family w:val="swiss"/>
    <w:pitch w:val="variable"/>
    <w:sig w:usb0="E0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6D27"/>
    <w:rsid w:val="00812483"/>
    <w:rsid w:val="00945403"/>
    <w:rsid w:val="00946D27"/>
    <w:rsid w:val="009A588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5B0427-280D-48C1-926D-271D73D4D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Char"/>
    <w:uiPriority w:val="9"/>
    <w:qFormat/>
    <w:rsid w:val="00946D27"/>
    <w:pPr>
      <w:spacing w:before="100" w:beforeAutospacing="1" w:after="100" w:afterAutospacing="1" w:line="240" w:lineRule="auto"/>
      <w:outlineLvl w:val="2"/>
    </w:pPr>
    <w:rPr>
      <w:rFonts w:ascii="Times New Roman" w:eastAsia="Times New Roman" w:hAnsi="Times New Roman" w:cs="Times New Roman"/>
      <w:b/>
      <w:bCs/>
      <w:sz w:val="27"/>
      <w:szCs w:val="27"/>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Επικεφαλίδα 3 Char"/>
    <w:basedOn w:val="a0"/>
    <w:link w:val="3"/>
    <w:uiPriority w:val="9"/>
    <w:rsid w:val="00946D27"/>
    <w:rPr>
      <w:rFonts w:ascii="Times New Roman" w:eastAsia="Times New Roman" w:hAnsi="Times New Roman" w:cs="Times New Roman"/>
      <w:b/>
      <w:bCs/>
      <w:sz w:val="27"/>
      <w:szCs w:val="27"/>
      <w:lang w:eastAsia="el-GR"/>
    </w:rPr>
  </w:style>
  <w:style w:type="paragraph" w:styleId="Web">
    <w:name w:val="Normal (Web)"/>
    <w:basedOn w:val="a"/>
    <w:uiPriority w:val="99"/>
    <w:semiHidden/>
    <w:unhideWhenUsed/>
    <w:rsid w:val="00946D27"/>
    <w:pPr>
      <w:spacing w:before="100" w:beforeAutospacing="1" w:after="100" w:afterAutospacing="1" w:line="240" w:lineRule="auto"/>
    </w:pPr>
    <w:rPr>
      <w:rFonts w:ascii="Times New Roman" w:eastAsia="Times New Roman" w:hAnsi="Times New Roman" w:cs="Times New Roman"/>
      <w:sz w:val="24"/>
      <w:szCs w:val="24"/>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9920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0A6DD7-9C8F-445B-A7DA-348A338A11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1540</Words>
  <Characters>8319</Characters>
  <Application>Microsoft Office Word</Application>
  <DocSecurity>0</DocSecurity>
  <Lines>69</Lines>
  <Paragraphs>19</Paragraphs>
  <ScaleCrop>false</ScaleCrop>
  <HeadingPairs>
    <vt:vector size="4" baseType="variant">
      <vt:variant>
        <vt:lpstr>Τίτλος</vt:lpstr>
      </vt:variant>
      <vt:variant>
        <vt:i4>1</vt:i4>
      </vt:variant>
      <vt:variant>
        <vt:lpstr>Επικεφαλίδες</vt:lpstr>
      </vt:variant>
      <vt:variant>
        <vt:i4>1</vt:i4>
      </vt:variant>
    </vt:vector>
  </HeadingPairs>
  <TitlesOfParts>
    <vt:vector size="2" baseType="lpstr">
      <vt:lpstr/>
      <vt:lpstr>        SUMMARY</vt:lpstr>
    </vt:vector>
  </TitlesOfParts>
  <Company/>
  <LinksUpToDate>false</LinksUpToDate>
  <CharactersWithSpaces>9840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Λογαριασμός Microsoft</dc:creator>
  <cp:keywords/>
  <dc:description/>
  <cp:lastModifiedBy>ΜΑΡΙΑ</cp:lastModifiedBy>
  <cp:revision>2</cp:revision>
  <dcterms:created xsi:type="dcterms:W3CDTF">2026-02-03T08:25:00Z</dcterms:created>
  <dcterms:modified xsi:type="dcterms:W3CDTF">2026-02-03T08:25:00Z</dcterms:modified>
</cp:coreProperties>
</file>